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94F1" w14:textId="3EF93C92" w:rsidR="00FB580E" w:rsidRDefault="00FB580E" w:rsidP="00FB580E">
      <w:pPr>
        <w:pStyle w:val="Brdtext"/>
        <w:rPr>
          <w:bCs/>
          <w:color w:val="000000" w:themeColor="text1"/>
          <w:kern w:val="32"/>
          <w:sz w:val="34"/>
          <w:szCs w:val="32"/>
        </w:rPr>
      </w:pP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580E" w:rsidRPr="00FB580E" w14:paraId="5F14EF78" w14:textId="77777777" w:rsidTr="00FB580E">
        <w:trPr>
          <w:jc w:val="center"/>
        </w:trPr>
        <w:tc>
          <w:tcPr>
            <w:tcW w:w="4531" w:type="dxa"/>
          </w:tcPr>
          <w:p w14:paraId="73893E36" w14:textId="49EA6460" w:rsidR="00FB580E" w:rsidRPr="00FB580E" w:rsidRDefault="00FB580E" w:rsidP="0055185A">
            <w:pPr>
              <w:pStyle w:val="Brdtext"/>
              <w:rPr>
                <w:bCs/>
                <w:color w:val="000000" w:themeColor="text1"/>
                <w:kern w:val="32"/>
                <w:sz w:val="24"/>
              </w:rPr>
            </w:pPr>
            <w:r w:rsidRPr="00FB580E">
              <w:rPr>
                <w:bCs/>
                <w:noProof/>
                <w:color w:val="000000" w:themeColor="text1"/>
                <w:kern w:val="32"/>
                <w:sz w:val="24"/>
                <w14:ligatures w14:val="standardContextual"/>
              </w:rPr>
              <w:drawing>
                <wp:inline distT="0" distB="0" distL="0" distR="0" wp14:anchorId="40198F38" wp14:editId="18EE574A">
                  <wp:extent cx="2010055" cy="325925"/>
                  <wp:effectExtent l="0" t="0" r="0" b="4445"/>
                  <wp:docPr id="1828386747" name="Bildobjekt 6"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86747" name="Bildobjekt 6" descr="En bild som visar svart, mörker&#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197" cy="356918"/>
                          </a:xfrm>
                          <a:prstGeom prst="rect">
                            <a:avLst/>
                          </a:prstGeom>
                        </pic:spPr>
                      </pic:pic>
                    </a:graphicData>
                  </a:graphic>
                </wp:inline>
              </w:drawing>
            </w:r>
          </w:p>
        </w:tc>
        <w:tc>
          <w:tcPr>
            <w:tcW w:w="4531" w:type="dxa"/>
          </w:tcPr>
          <w:p w14:paraId="73249FD7" w14:textId="70CAC2FA" w:rsidR="00FB580E" w:rsidRPr="00FB580E" w:rsidRDefault="00FB580E" w:rsidP="00FB580E">
            <w:pPr>
              <w:pStyle w:val="Brdtext"/>
              <w:jc w:val="right"/>
              <w:rPr>
                <w:bCs/>
                <w:color w:val="000000" w:themeColor="text1"/>
                <w:kern w:val="32"/>
                <w:sz w:val="24"/>
              </w:rPr>
            </w:pPr>
            <w:r w:rsidRPr="00FB580E">
              <w:rPr>
                <w:bCs/>
                <w:noProof/>
                <w:color w:val="000000" w:themeColor="text1"/>
                <w:kern w:val="32"/>
                <w:sz w:val="24"/>
                <w14:ligatures w14:val="standardContextual"/>
              </w:rPr>
              <w:drawing>
                <wp:inline distT="0" distB="0" distL="0" distR="0" wp14:anchorId="2DA6F3CC" wp14:editId="78E3A010">
                  <wp:extent cx="390509" cy="872903"/>
                  <wp:effectExtent l="0" t="0" r="3810" b="3810"/>
                  <wp:docPr id="206120503" name="Bildobjekt 7" descr="En bild som visar Teckensnitt, symbol,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0503" name="Bildobjekt 7" descr="En bild som visar Teckensnitt, symbol, Grafik, skärmbild&#10;&#10;AI-genererat innehåll kan vara felaktigt."/>
                          <pic:cNvPicPr/>
                        </pic:nvPicPr>
                        <pic:blipFill>
                          <a:blip r:embed="rId8">
                            <a:extLst>
                              <a:ext uri="{28A0092B-C50C-407E-A947-70E740481C1C}">
                                <a14:useLocalDpi xmlns:a14="http://schemas.microsoft.com/office/drawing/2010/main" val="0"/>
                              </a:ext>
                            </a:extLst>
                          </a:blip>
                          <a:stretch>
                            <a:fillRect/>
                          </a:stretch>
                        </pic:blipFill>
                        <pic:spPr>
                          <a:xfrm>
                            <a:off x="0" y="0"/>
                            <a:ext cx="448953" cy="1003542"/>
                          </a:xfrm>
                          <a:prstGeom prst="rect">
                            <a:avLst/>
                          </a:prstGeom>
                        </pic:spPr>
                      </pic:pic>
                    </a:graphicData>
                  </a:graphic>
                </wp:inline>
              </w:drawing>
            </w:r>
          </w:p>
        </w:tc>
      </w:tr>
    </w:tbl>
    <w:p w14:paraId="3BE44914" w14:textId="5BFFEB7E" w:rsidR="00FC6830" w:rsidRPr="00FC6830" w:rsidRDefault="00FC6830" w:rsidP="00FC6830">
      <w:pPr>
        <w:pStyle w:val="Brdtext"/>
        <w:rPr>
          <w:bCs/>
          <w:color w:val="000000" w:themeColor="text1"/>
          <w:kern w:val="32"/>
          <w:sz w:val="34"/>
          <w:szCs w:val="32"/>
        </w:rPr>
      </w:pPr>
      <w:r w:rsidRPr="00FC6830">
        <w:rPr>
          <w:bCs/>
          <w:color w:val="000000" w:themeColor="text1"/>
          <w:kern w:val="32"/>
          <w:sz w:val="34"/>
          <w:szCs w:val="32"/>
        </w:rPr>
        <w:t>Call for Applications: MIRAI Japanese-Swedish mobility grant for Early-Career Researchers (2025-2026)</w:t>
      </w:r>
    </w:p>
    <w:p w14:paraId="3FD45CE8" w14:textId="77777777" w:rsidR="00FC6830" w:rsidRPr="00FC6830" w:rsidRDefault="00FC6830" w:rsidP="008B6D4E">
      <w:pPr>
        <w:pStyle w:val="Brdtext"/>
        <w:spacing w:line="240" w:lineRule="auto"/>
        <w:rPr>
          <w:color w:val="000000" w:themeColor="text1"/>
        </w:rPr>
      </w:pPr>
    </w:p>
    <w:p w14:paraId="50FD058D" w14:textId="77777777" w:rsidR="00FC6830" w:rsidRPr="002A4621" w:rsidRDefault="00FC6830" w:rsidP="008B6D4E">
      <w:pPr>
        <w:pStyle w:val="Rubrik2"/>
        <w:spacing w:line="240" w:lineRule="auto"/>
        <w:rPr>
          <w:rFonts w:ascii="Times New Roman" w:hAnsi="Times New Roman" w:cs="Times New Roman"/>
          <w:color w:val="000000" w:themeColor="text1"/>
          <w:sz w:val="22"/>
          <w:szCs w:val="22"/>
          <w:lang w:val="en-US"/>
        </w:rPr>
      </w:pPr>
      <w:r w:rsidRPr="002A4621">
        <w:rPr>
          <w:rFonts w:ascii="Times New Roman" w:hAnsi="Times New Roman" w:cs="Times New Roman"/>
          <w:color w:val="000000" w:themeColor="text1"/>
          <w:sz w:val="26"/>
          <w:szCs w:val="26"/>
          <w:lang w:val="en-US"/>
        </w:rPr>
        <w:t>Call for Applications</w:t>
      </w:r>
      <w:r w:rsidRPr="002A4621">
        <w:rPr>
          <w:rFonts w:ascii="Times New Roman" w:hAnsi="Times New Roman" w:cs="Times New Roman"/>
          <w:color w:val="000000" w:themeColor="text1"/>
          <w:sz w:val="26"/>
          <w:szCs w:val="26"/>
          <w:lang w:val="en-US"/>
        </w:rPr>
        <w:br/>
      </w:r>
      <w:r w:rsidRPr="002A4621">
        <w:rPr>
          <w:rFonts w:ascii="Times New Roman" w:hAnsi="Times New Roman" w:cs="Times New Roman"/>
          <w:color w:val="000000" w:themeColor="text1"/>
          <w:sz w:val="22"/>
          <w:szCs w:val="22"/>
          <w:lang w:val="en-US"/>
        </w:rPr>
        <w:t xml:space="preserve">Linnaeus University is pleased to announce a call within the MIRAI collaboration: </w:t>
      </w:r>
      <w:r w:rsidRPr="002A4621">
        <w:rPr>
          <w:rFonts w:ascii="Times New Roman" w:hAnsi="Times New Roman" w:cs="Times New Roman"/>
          <w:i/>
          <w:iCs/>
          <w:color w:val="000000" w:themeColor="text1"/>
          <w:sz w:val="22"/>
          <w:szCs w:val="22"/>
          <w:lang w:val="en-US"/>
        </w:rPr>
        <w:t>STINT Work Package ECR: Longer-Term Mobility for PhD Students and Early Career Researchers</w:t>
      </w:r>
      <w:r w:rsidRPr="002A4621">
        <w:rPr>
          <w:rFonts w:ascii="Times New Roman" w:hAnsi="Times New Roman" w:cs="Times New Roman"/>
          <w:color w:val="000000" w:themeColor="text1"/>
          <w:sz w:val="22"/>
          <w:szCs w:val="22"/>
          <w:lang w:val="en-US"/>
        </w:rPr>
        <w:t xml:space="preserve">. This program presents a unique opportunity for Linnaeus University to send candidates for extended research stays in Japan and to welcome Japanese researchers from the </w:t>
      </w:r>
      <w:hyperlink r:id="rId9" w:history="1">
        <w:r w:rsidRPr="002A4621">
          <w:rPr>
            <w:rStyle w:val="Hyperlnk"/>
            <w:rFonts w:ascii="Times New Roman" w:hAnsi="Times New Roman" w:cs="Times New Roman"/>
            <w:color w:val="000000" w:themeColor="text1"/>
            <w:sz w:val="22"/>
            <w:szCs w:val="22"/>
            <w:lang w:val="en-US"/>
          </w:rPr>
          <w:t>MIRAI network partners</w:t>
        </w:r>
      </w:hyperlink>
      <w:r w:rsidRPr="002A4621">
        <w:rPr>
          <w:rFonts w:ascii="Times New Roman" w:hAnsi="Times New Roman" w:cs="Times New Roman"/>
          <w:color w:val="000000" w:themeColor="text1"/>
          <w:sz w:val="22"/>
          <w:szCs w:val="22"/>
          <w:lang w:val="en-US"/>
        </w:rPr>
        <w:t>, fostering deeper collaboration in research and education.</w:t>
      </w:r>
    </w:p>
    <w:p w14:paraId="15CAC0D3" w14:textId="77777777" w:rsidR="00FC6830" w:rsidRPr="002A4621" w:rsidRDefault="00FC6830" w:rsidP="008B6D4E">
      <w:pPr>
        <w:pStyle w:val="Brdtext"/>
        <w:spacing w:line="240" w:lineRule="auto"/>
        <w:rPr>
          <w:color w:val="000000" w:themeColor="text1"/>
          <w:szCs w:val="22"/>
        </w:rPr>
      </w:pPr>
    </w:p>
    <w:p w14:paraId="1E5426E3" w14:textId="3253F9E1" w:rsidR="00FC6830" w:rsidRPr="002A4621" w:rsidRDefault="00FC6830" w:rsidP="008B6D4E">
      <w:pPr>
        <w:pStyle w:val="Brdtext"/>
        <w:spacing w:line="240" w:lineRule="auto"/>
        <w:rPr>
          <w:color w:val="000000" w:themeColor="text1"/>
          <w:szCs w:val="22"/>
          <w:lang w:val="en-US"/>
        </w:rPr>
      </w:pPr>
      <w:r w:rsidRPr="002A4621">
        <w:rPr>
          <w:color w:val="000000" w:themeColor="text1"/>
          <w:szCs w:val="22"/>
          <w:lang w:val="en-US"/>
        </w:rPr>
        <w:t>Through this initiative, Linnaeus University opens for </w:t>
      </w:r>
      <w:r w:rsidRPr="002A4621">
        <w:rPr>
          <w:b/>
          <w:bCs/>
          <w:color w:val="000000" w:themeColor="text1"/>
          <w:szCs w:val="22"/>
          <w:lang w:val="en-US"/>
        </w:rPr>
        <w:t>two (2) PhD candidates</w:t>
      </w:r>
      <w:r w:rsidR="005E55BF">
        <w:rPr>
          <w:b/>
          <w:bCs/>
          <w:color w:val="000000" w:themeColor="text1"/>
          <w:szCs w:val="22"/>
          <w:lang w:val="en-US"/>
        </w:rPr>
        <w:t xml:space="preserve"> or Early Career Researchers (</w:t>
      </w:r>
      <w:r w:rsidRPr="002A4621">
        <w:rPr>
          <w:b/>
          <w:bCs/>
          <w:color w:val="000000" w:themeColor="text1"/>
          <w:szCs w:val="22"/>
          <w:lang w:val="en-US"/>
        </w:rPr>
        <w:t>ECR</w:t>
      </w:r>
      <w:r w:rsidR="005E55BF">
        <w:rPr>
          <w:b/>
          <w:bCs/>
          <w:color w:val="000000" w:themeColor="text1"/>
          <w:szCs w:val="22"/>
          <w:lang w:val="en-US"/>
        </w:rPr>
        <w:t>)</w:t>
      </w:r>
      <w:r w:rsidRPr="002A4621">
        <w:rPr>
          <w:color w:val="000000" w:themeColor="text1"/>
          <w:szCs w:val="22"/>
          <w:lang w:val="en-US"/>
        </w:rPr>
        <w:t> </w:t>
      </w:r>
      <w:r w:rsidR="00BA0DDD">
        <w:rPr>
          <w:color w:val="000000" w:themeColor="text1"/>
          <w:szCs w:val="22"/>
          <w:lang w:val="en-US"/>
        </w:rPr>
        <w:t xml:space="preserve">going </w:t>
      </w:r>
      <w:r w:rsidRPr="002A4621">
        <w:rPr>
          <w:color w:val="000000" w:themeColor="text1"/>
          <w:szCs w:val="22"/>
          <w:lang w:val="en-US"/>
        </w:rPr>
        <w:t xml:space="preserve">to Japan and to </w:t>
      </w:r>
      <w:r w:rsidRPr="007557F2">
        <w:rPr>
          <w:b/>
          <w:bCs/>
          <w:color w:val="000000" w:themeColor="text1"/>
          <w:szCs w:val="22"/>
          <w:lang w:val="en-US"/>
        </w:rPr>
        <w:t>host o</w:t>
      </w:r>
      <w:r w:rsidRPr="002A4621">
        <w:rPr>
          <w:b/>
          <w:bCs/>
          <w:color w:val="000000" w:themeColor="text1"/>
          <w:szCs w:val="22"/>
          <w:lang w:val="en-US"/>
        </w:rPr>
        <w:t>ne (1) Japanese researchers</w:t>
      </w:r>
      <w:r w:rsidR="00940198">
        <w:rPr>
          <w:b/>
          <w:bCs/>
          <w:color w:val="000000" w:themeColor="text1"/>
          <w:szCs w:val="22"/>
          <w:lang w:val="en-US"/>
        </w:rPr>
        <w:t xml:space="preserve"> </w:t>
      </w:r>
      <w:r w:rsidR="00940198" w:rsidRPr="007557F2">
        <w:rPr>
          <w:color w:val="000000" w:themeColor="text1"/>
          <w:szCs w:val="22"/>
          <w:lang w:val="en-US"/>
        </w:rPr>
        <w:t>at Linnaeus University</w:t>
      </w:r>
      <w:r w:rsidRPr="002A4621">
        <w:rPr>
          <w:color w:val="000000" w:themeColor="text1"/>
          <w:szCs w:val="22"/>
          <w:lang w:val="en-US"/>
        </w:rPr>
        <w:t xml:space="preserve"> in Sweden. The incoming </w:t>
      </w:r>
      <w:r w:rsidR="00BA0DDD">
        <w:rPr>
          <w:color w:val="000000" w:themeColor="text1"/>
          <w:szCs w:val="22"/>
          <w:lang w:val="en-US"/>
        </w:rPr>
        <w:t xml:space="preserve">spot for </w:t>
      </w:r>
      <w:r w:rsidRPr="002A4621">
        <w:rPr>
          <w:color w:val="000000" w:themeColor="text1"/>
          <w:szCs w:val="22"/>
          <w:lang w:val="en-US"/>
        </w:rPr>
        <w:t xml:space="preserve">Japanese PhD candidate/ECR will be open to applicants from </w:t>
      </w:r>
      <w:r w:rsidRPr="002A4621">
        <w:rPr>
          <w:b/>
          <w:bCs/>
          <w:color w:val="000000" w:themeColor="text1"/>
          <w:szCs w:val="22"/>
          <w:lang w:val="en-US"/>
        </w:rPr>
        <w:t>Sophia University</w:t>
      </w:r>
      <w:r w:rsidRPr="002A4621">
        <w:rPr>
          <w:color w:val="000000" w:themeColor="text1"/>
          <w:szCs w:val="22"/>
          <w:lang w:val="en-US"/>
        </w:rPr>
        <w:t>.</w:t>
      </w:r>
    </w:p>
    <w:p w14:paraId="38955EA4" w14:textId="77777777" w:rsidR="00FC6830" w:rsidRPr="002A4621" w:rsidRDefault="00FC6830" w:rsidP="008B6D4E">
      <w:pPr>
        <w:pStyle w:val="Brdtext"/>
        <w:spacing w:line="240" w:lineRule="auto"/>
        <w:rPr>
          <w:color w:val="000000" w:themeColor="text1"/>
          <w:szCs w:val="22"/>
          <w:lang w:val="en-US"/>
        </w:rPr>
      </w:pPr>
    </w:p>
    <w:p w14:paraId="555C8840" w14:textId="713BE6DE" w:rsidR="00FC6830" w:rsidRPr="002A4621" w:rsidRDefault="00FC6830" w:rsidP="00FB580E">
      <w:pPr>
        <w:pStyle w:val="Brdtext"/>
        <w:spacing w:line="240" w:lineRule="auto"/>
        <w:rPr>
          <w:color w:val="000000" w:themeColor="text1"/>
          <w:szCs w:val="22"/>
          <w:lang w:val="en-US"/>
        </w:rPr>
      </w:pPr>
      <w:r w:rsidRPr="002A4621">
        <w:rPr>
          <w:color w:val="000000" w:themeColor="text1"/>
          <w:szCs w:val="22"/>
          <w:lang w:val="en-US"/>
        </w:rPr>
        <w:t>This mobility is funded by </w:t>
      </w:r>
      <w:r w:rsidRPr="002A4621">
        <w:rPr>
          <w:b/>
          <w:bCs/>
          <w:color w:val="000000" w:themeColor="text1"/>
          <w:szCs w:val="22"/>
          <w:lang w:val="en-US"/>
        </w:rPr>
        <w:t>STINT (The Swedish Foundation for International Cooperation in Research and Higher Education)</w:t>
      </w:r>
      <w:r w:rsidRPr="002A4621">
        <w:rPr>
          <w:color w:val="000000" w:themeColor="text1"/>
          <w:szCs w:val="22"/>
          <w:lang w:val="en-US"/>
        </w:rPr>
        <w:t>.</w:t>
      </w:r>
    </w:p>
    <w:p w14:paraId="59E3F4D0" w14:textId="77777777" w:rsidR="00FC6830" w:rsidRPr="002A4621" w:rsidRDefault="00FC6830" w:rsidP="00FB580E">
      <w:pPr>
        <w:pStyle w:val="Brdtext"/>
        <w:spacing w:line="240" w:lineRule="auto"/>
        <w:rPr>
          <w:color w:val="000000" w:themeColor="text1"/>
          <w:szCs w:val="22"/>
        </w:rPr>
      </w:pPr>
    </w:p>
    <w:p w14:paraId="1933A92E" w14:textId="77777777" w:rsidR="00FC6830" w:rsidRPr="002A4621" w:rsidRDefault="00FC6830" w:rsidP="00FB580E">
      <w:pPr>
        <w:pStyle w:val="Rubrik2"/>
        <w:spacing w:line="240" w:lineRule="auto"/>
        <w:rPr>
          <w:rFonts w:ascii="Times New Roman" w:hAnsi="Times New Roman" w:cs="Times New Roman"/>
          <w:color w:val="000000" w:themeColor="text1"/>
          <w:sz w:val="26"/>
          <w:szCs w:val="26"/>
          <w:lang w:val="en-US"/>
        </w:rPr>
      </w:pPr>
      <w:r w:rsidRPr="002A4621">
        <w:rPr>
          <w:rFonts w:ascii="Times New Roman" w:hAnsi="Times New Roman" w:cs="Times New Roman"/>
          <w:color w:val="000000" w:themeColor="text1"/>
          <w:sz w:val="26"/>
          <w:szCs w:val="26"/>
          <w:lang w:val="en-US"/>
        </w:rPr>
        <w:t>Purpose</w:t>
      </w:r>
    </w:p>
    <w:p w14:paraId="1A881202" w14:textId="09C59E3C" w:rsidR="00FC6830" w:rsidRPr="002A4621" w:rsidRDefault="00FC6830" w:rsidP="00FB580E">
      <w:pPr>
        <w:pStyle w:val="Brdtext"/>
        <w:spacing w:line="240" w:lineRule="auto"/>
        <w:rPr>
          <w:color w:val="000000" w:themeColor="text1"/>
          <w:szCs w:val="22"/>
        </w:rPr>
      </w:pPr>
      <w:r w:rsidRPr="002A4621">
        <w:rPr>
          <w:color w:val="000000" w:themeColor="text1"/>
          <w:szCs w:val="22"/>
        </w:rPr>
        <w:t>The purpose of the long-term mobility is to establish, continue and deepen collaborations with MIRAI universities. The MIRAI long-term mobility scheme will help you:</w:t>
      </w:r>
    </w:p>
    <w:p w14:paraId="712786AE" w14:textId="1CEEB33B" w:rsidR="00FC6830" w:rsidRPr="002A4621" w:rsidRDefault="00FC6830" w:rsidP="00FB580E">
      <w:pPr>
        <w:pStyle w:val="Brdtext"/>
        <w:numPr>
          <w:ilvl w:val="0"/>
          <w:numId w:val="1"/>
        </w:numPr>
        <w:spacing w:line="240" w:lineRule="auto"/>
        <w:rPr>
          <w:color w:val="000000" w:themeColor="text1"/>
          <w:szCs w:val="22"/>
        </w:rPr>
      </w:pPr>
      <w:r w:rsidRPr="002A4621">
        <w:rPr>
          <w:color w:val="000000" w:themeColor="text1"/>
          <w:szCs w:val="22"/>
        </w:rPr>
        <w:t>Broadening and deepening your skills and research interest</w:t>
      </w:r>
      <w:r w:rsidR="007557F2">
        <w:rPr>
          <w:color w:val="000000" w:themeColor="text1"/>
          <w:szCs w:val="22"/>
        </w:rPr>
        <w:t>.</w:t>
      </w:r>
    </w:p>
    <w:p w14:paraId="1466A4A5" w14:textId="77F7F176" w:rsidR="00FC6830" w:rsidRPr="002A4621" w:rsidRDefault="00FC6830" w:rsidP="00FB580E">
      <w:pPr>
        <w:pStyle w:val="Brdtext"/>
        <w:numPr>
          <w:ilvl w:val="0"/>
          <w:numId w:val="1"/>
        </w:numPr>
        <w:spacing w:line="240" w:lineRule="auto"/>
        <w:rPr>
          <w:color w:val="000000" w:themeColor="text1"/>
          <w:szCs w:val="22"/>
        </w:rPr>
      </w:pPr>
      <w:r w:rsidRPr="002A4621">
        <w:rPr>
          <w:color w:val="000000" w:themeColor="text1"/>
          <w:szCs w:val="22"/>
        </w:rPr>
        <w:t>Facilitating mobility and sharing of ideas</w:t>
      </w:r>
      <w:r w:rsidR="007557F2">
        <w:rPr>
          <w:color w:val="000000" w:themeColor="text1"/>
          <w:szCs w:val="22"/>
        </w:rPr>
        <w:t>.</w:t>
      </w:r>
    </w:p>
    <w:p w14:paraId="40C702EA" w14:textId="7DF73A1E" w:rsidR="00FC6830" w:rsidRPr="002A4621" w:rsidRDefault="00FC6830" w:rsidP="00FB580E">
      <w:pPr>
        <w:pStyle w:val="Brdtext"/>
        <w:numPr>
          <w:ilvl w:val="0"/>
          <w:numId w:val="1"/>
        </w:numPr>
        <w:spacing w:line="240" w:lineRule="auto"/>
        <w:rPr>
          <w:color w:val="000000" w:themeColor="text1"/>
          <w:szCs w:val="22"/>
        </w:rPr>
      </w:pPr>
      <w:r w:rsidRPr="002A4621">
        <w:rPr>
          <w:color w:val="000000" w:themeColor="text1"/>
          <w:szCs w:val="22"/>
        </w:rPr>
        <w:t>Stimulating new research ideas</w:t>
      </w:r>
      <w:r w:rsidR="007557F2">
        <w:rPr>
          <w:color w:val="000000" w:themeColor="text1"/>
          <w:szCs w:val="22"/>
        </w:rPr>
        <w:t>.</w:t>
      </w:r>
    </w:p>
    <w:p w14:paraId="2DC7B4F5" w14:textId="107D93A7" w:rsidR="00FC6830" w:rsidRPr="002A4621" w:rsidRDefault="00FC6830" w:rsidP="00FB580E">
      <w:pPr>
        <w:pStyle w:val="Brdtext"/>
        <w:numPr>
          <w:ilvl w:val="0"/>
          <w:numId w:val="1"/>
        </w:numPr>
        <w:spacing w:line="240" w:lineRule="auto"/>
        <w:rPr>
          <w:color w:val="000000" w:themeColor="text1"/>
          <w:szCs w:val="22"/>
        </w:rPr>
      </w:pPr>
      <w:r w:rsidRPr="002A4621">
        <w:rPr>
          <w:color w:val="000000" w:themeColor="text1"/>
          <w:szCs w:val="22"/>
        </w:rPr>
        <w:t>Building your network amongst researchers at MIRAI universities</w:t>
      </w:r>
      <w:r w:rsidR="007557F2">
        <w:rPr>
          <w:color w:val="000000" w:themeColor="text1"/>
          <w:szCs w:val="22"/>
        </w:rPr>
        <w:t>.</w:t>
      </w:r>
    </w:p>
    <w:p w14:paraId="6175EEB2" w14:textId="77777777" w:rsidR="00FC6830" w:rsidRPr="002A4621" w:rsidRDefault="00FC6830" w:rsidP="00FB580E">
      <w:pPr>
        <w:pStyle w:val="Brdtext"/>
        <w:spacing w:line="240" w:lineRule="auto"/>
        <w:rPr>
          <w:color w:val="000000" w:themeColor="text1"/>
          <w:szCs w:val="22"/>
        </w:rPr>
      </w:pPr>
    </w:p>
    <w:p w14:paraId="04531EC0" w14:textId="6DF36CA5" w:rsidR="00FC6830" w:rsidRPr="00BE2CE2" w:rsidRDefault="00FC6830" w:rsidP="00FB580E">
      <w:pPr>
        <w:pStyle w:val="Rubrik2"/>
        <w:spacing w:line="240" w:lineRule="auto"/>
        <w:rPr>
          <w:rFonts w:ascii="Times New Roman" w:hAnsi="Times New Roman" w:cs="Times New Roman"/>
          <w:color w:val="000000" w:themeColor="text1"/>
          <w:sz w:val="26"/>
          <w:szCs w:val="26"/>
          <w:lang w:val="en-US"/>
        </w:rPr>
      </w:pPr>
      <w:r w:rsidRPr="004B466A">
        <w:rPr>
          <w:rFonts w:ascii="Times New Roman" w:hAnsi="Times New Roman" w:cs="Times New Roman"/>
          <w:color w:val="000000" w:themeColor="text1"/>
          <w:sz w:val="26"/>
          <w:szCs w:val="26"/>
          <w:lang w:val="en-GB"/>
        </w:rPr>
        <w:t>Eligibility</w:t>
      </w:r>
    </w:p>
    <w:p w14:paraId="03CF5770" w14:textId="77777777" w:rsidR="00FC6830" w:rsidRPr="002A4621" w:rsidRDefault="00FC6830" w:rsidP="008B6D4E">
      <w:pPr>
        <w:pStyle w:val="Brdtext"/>
        <w:spacing w:line="240" w:lineRule="auto"/>
        <w:rPr>
          <w:color w:val="000000" w:themeColor="text1"/>
          <w:szCs w:val="22"/>
          <w:lang w:val="en-US"/>
        </w:rPr>
      </w:pPr>
      <w:r w:rsidRPr="002A4621">
        <w:rPr>
          <w:b/>
          <w:bCs/>
          <w:color w:val="000000" w:themeColor="text1"/>
          <w:szCs w:val="22"/>
        </w:rPr>
        <w:t>Early Career Researchers:</w:t>
      </w:r>
      <w:r w:rsidRPr="002A4621">
        <w:rPr>
          <w:color w:val="000000" w:themeColor="text1"/>
          <w:szCs w:val="22"/>
        </w:rPr>
        <w:t xml:space="preserve"> </w:t>
      </w:r>
      <w:r w:rsidRPr="002A4621">
        <w:rPr>
          <w:color w:val="000000" w:themeColor="text1"/>
          <w:szCs w:val="22"/>
          <w:lang w:val="en-US"/>
        </w:rPr>
        <w:t>Applicants must either be currently enrolled as a doctoral student or have obtained their doctoral degree in </w:t>
      </w:r>
      <w:r w:rsidRPr="002A4621">
        <w:rPr>
          <w:b/>
          <w:bCs/>
          <w:color w:val="000000" w:themeColor="text1"/>
          <w:szCs w:val="22"/>
          <w:lang w:val="en-US"/>
        </w:rPr>
        <w:t>2021 or later</w:t>
      </w:r>
      <w:r w:rsidRPr="002A4621">
        <w:rPr>
          <w:color w:val="000000" w:themeColor="text1"/>
          <w:szCs w:val="22"/>
          <w:lang w:val="en-US"/>
        </w:rPr>
        <w:t>.</w:t>
      </w:r>
    </w:p>
    <w:p w14:paraId="21B0E206" w14:textId="14F7166C" w:rsidR="00BD73D6" w:rsidRPr="002A4621" w:rsidRDefault="00FC6830" w:rsidP="00BD73D6">
      <w:pPr>
        <w:pStyle w:val="Brdtext"/>
        <w:spacing w:line="240" w:lineRule="auto"/>
        <w:rPr>
          <w:color w:val="000000" w:themeColor="text1"/>
          <w:szCs w:val="22"/>
          <w:lang w:val="en-US"/>
        </w:rPr>
      </w:pPr>
      <w:r w:rsidRPr="00BD73D6">
        <w:rPr>
          <w:b/>
          <w:bCs/>
          <w:color w:val="000000" w:themeColor="text1"/>
          <w:szCs w:val="22"/>
        </w:rPr>
        <w:t>Employment:</w:t>
      </w:r>
      <w:r w:rsidRPr="00BD73D6">
        <w:rPr>
          <w:color w:val="000000" w:themeColor="text1"/>
          <w:szCs w:val="22"/>
        </w:rPr>
        <w:t xml:space="preserve"> </w:t>
      </w:r>
      <w:r w:rsidR="007557F2" w:rsidRPr="007557F2">
        <w:rPr>
          <w:color w:val="000000" w:themeColor="text1"/>
          <w:szCs w:val="22"/>
          <w:lang w:val="en-US"/>
        </w:rPr>
        <w:t xml:space="preserve">PhD students at Sophia University must remain enrolled, and ECR researchers must be employed at </w:t>
      </w:r>
      <w:r w:rsidR="007557F2" w:rsidRPr="006D2B5D">
        <w:rPr>
          <w:color w:val="000000" w:themeColor="text1"/>
          <w:szCs w:val="22"/>
          <w:lang w:val="en-US"/>
        </w:rPr>
        <w:t xml:space="preserve">Sophia University throughout their stay abroad. Similarly, </w:t>
      </w:r>
      <w:r w:rsidR="007F5141" w:rsidRPr="007557F2">
        <w:rPr>
          <w:color w:val="000000" w:themeColor="text1"/>
          <w:szCs w:val="22"/>
          <w:lang w:val="en-US"/>
        </w:rPr>
        <w:t xml:space="preserve">PhD students at </w:t>
      </w:r>
      <w:r w:rsidR="007F5141">
        <w:rPr>
          <w:color w:val="000000" w:themeColor="text1"/>
          <w:szCs w:val="22"/>
          <w:lang w:val="en-US"/>
        </w:rPr>
        <w:t>Linnaeus</w:t>
      </w:r>
      <w:r w:rsidR="007F5141" w:rsidRPr="007557F2">
        <w:rPr>
          <w:color w:val="000000" w:themeColor="text1"/>
          <w:szCs w:val="22"/>
          <w:lang w:val="en-US"/>
        </w:rPr>
        <w:t xml:space="preserve"> University must remain enrolled, and ECR researchers must be employed at </w:t>
      </w:r>
      <w:r w:rsidR="007F5141">
        <w:rPr>
          <w:color w:val="000000" w:themeColor="text1"/>
          <w:szCs w:val="22"/>
          <w:lang w:val="en-US"/>
        </w:rPr>
        <w:t xml:space="preserve">Linnaeus University </w:t>
      </w:r>
      <w:r w:rsidR="007557F2" w:rsidRPr="006D2B5D">
        <w:rPr>
          <w:color w:val="000000" w:themeColor="text1"/>
          <w:szCs w:val="22"/>
          <w:lang w:val="en-US"/>
        </w:rPr>
        <w:t>for the entire duration of their time abroad.</w:t>
      </w:r>
      <w:r w:rsidR="007557F2">
        <w:rPr>
          <w:color w:val="000000" w:themeColor="text1"/>
          <w:szCs w:val="22"/>
          <w:lang w:val="en-US"/>
        </w:rPr>
        <w:t xml:space="preserve"> </w:t>
      </w:r>
    </w:p>
    <w:p w14:paraId="4E9F1EC9" w14:textId="77777777" w:rsidR="00FC6830" w:rsidRPr="002A4621" w:rsidRDefault="00FC6830" w:rsidP="008B6D4E">
      <w:pPr>
        <w:pStyle w:val="Brdtext"/>
        <w:spacing w:line="240" w:lineRule="auto"/>
        <w:rPr>
          <w:color w:val="000000" w:themeColor="text1"/>
          <w:szCs w:val="22"/>
          <w:lang w:val="en-US"/>
        </w:rPr>
      </w:pPr>
    </w:p>
    <w:p w14:paraId="496CD2A5" w14:textId="11EF554A" w:rsidR="00FC6830" w:rsidRPr="002A4621" w:rsidRDefault="00FC6830" w:rsidP="008B6D4E">
      <w:pPr>
        <w:pStyle w:val="Brdtext"/>
        <w:spacing w:line="240" w:lineRule="auto"/>
        <w:rPr>
          <w:color w:val="000000" w:themeColor="text1"/>
          <w:szCs w:val="22"/>
        </w:rPr>
      </w:pPr>
      <w:r w:rsidRPr="00EC4EA2">
        <w:rPr>
          <w:b/>
          <w:bCs/>
          <w:color w:val="000000" w:themeColor="text1"/>
          <w:szCs w:val="22"/>
          <w:lang w:val="en-US"/>
        </w:rPr>
        <w:t>Linnaeus University researchers</w:t>
      </w:r>
      <w:r w:rsidRPr="002A4621">
        <w:rPr>
          <w:color w:val="000000" w:themeColor="text1"/>
          <w:szCs w:val="22"/>
          <w:lang w:val="en-US"/>
        </w:rPr>
        <w:t xml:space="preserve"> with a completed PhD must hold a </w:t>
      </w:r>
      <w:r w:rsidRPr="002A4621">
        <w:rPr>
          <w:b/>
          <w:bCs/>
          <w:color w:val="000000" w:themeColor="text1"/>
          <w:szCs w:val="22"/>
          <w:lang w:val="en-US"/>
        </w:rPr>
        <w:t>permanent position</w:t>
      </w:r>
      <w:r w:rsidRPr="002A4621">
        <w:rPr>
          <w:color w:val="000000" w:themeColor="text1"/>
          <w:szCs w:val="22"/>
          <w:lang w:val="en-US"/>
        </w:rPr>
        <w:t> at Linnaeus University or be employed as an </w:t>
      </w:r>
      <w:r w:rsidRPr="002A4621">
        <w:rPr>
          <w:b/>
          <w:bCs/>
          <w:color w:val="000000" w:themeColor="text1"/>
          <w:szCs w:val="22"/>
          <w:lang w:val="en-US"/>
        </w:rPr>
        <w:t>assistant lecturer</w:t>
      </w:r>
      <w:r w:rsidRPr="002A4621">
        <w:rPr>
          <w:color w:val="000000" w:themeColor="text1"/>
          <w:szCs w:val="22"/>
          <w:lang w:val="en-US"/>
        </w:rPr>
        <w:t> or </w:t>
      </w:r>
      <w:r w:rsidR="00911603">
        <w:rPr>
          <w:b/>
          <w:bCs/>
          <w:color w:val="000000" w:themeColor="text1"/>
          <w:szCs w:val="22"/>
          <w:lang w:val="en-US"/>
        </w:rPr>
        <w:t>p</w:t>
      </w:r>
      <w:r w:rsidRPr="002A4621">
        <w:rPr>
          <w:b/>
          <w:bCs/>
          <w:color w:val="000000" w:themeColor="text1"/>
          <w:szCs w:val="22"/>
          <w:lang w:val="en-US"/>
        </w:rPr>
        <w:t>ostdoctoral researcher</w:t>
      </w:r>
      <w:r w:rsidRPr="002A4621">
        <w:rPr>
          <w:color w:val="000000" w:themeColor="text1"/>
          <w:szCs w:val="22"/>
          <w:lang w:val="en-US"/>
        </w:rPr>
        <w:t xml:space="preserve">. Linnaeus University applicants must be registered </w:t>
      </w:r>
      <w:r w:rsidR="008825C7">
        <w:rPr>
          <w:color w:val="000000" w:themeColor="text1"/>
          <w:szCs w:val="22"/>
          <w:lang w:val="en-US"/>
        </w:rPr>
        <w:t>(</w:t>
      </w:r>
      <w:proofErr w:type="spellStart"/>
      <w:r w:rsidR="008825C7">
        <w:rPr>
          <w:color w:val="000000" w:themeColor="text1"/>
          <w:szCs w:val="22"/>
          <w:lang w:val="en-US"/>
        </w:rPr>
        <w:t>folkbokförd</w:t>
      </w:r>
      <w:proofErr w:type="spellEnd"/>
      <w:r w:rsidR="008825C7">
        <w:rPr>
          <w:color w:val="000000" w:themeColor="text1"/>
          <w:szCs w:val="22"/>
          <w:lang w:val="en-US"/>
        </w:rPr>
        <w:t xml:space="preserve">) </w:t>
      </w:r>
      <w:r w:rsidRPr="002A4621">
        <w:rPr>
          <w:color w:val="000000" w:themeColor="text1"/>
          <w:szCs w:val="22"/>
          <w:lang w:val="en-US"/>
        </w:rPr>
        <w:t xml:space="preserve">in Sweden and </w:t>
      </w:r>
      <w:r w:rsidRPr="002A4621">
        <w:rPr>
          <w:b/>
          <w:bCs/>
          <w:color w:val="000000" w:themeColor="text1"/>
          <w:szCs w:val="22"/>
          <w:lang w:val="en-US"/>
        </w:rPr>
        <w:t>covered by social insurance in Sweden</w:t>
      </w:r>
      <w:r w:rsidRPr="002A4621">
        <w:rPr>
          <w:color w:val="000000" w:themeColor="text1"/>
          <w:szCs w:val="22"/>
          <w:lang w:val="en-US"/>
        </w:rPr>
        <w:t>.</w:t>
      </w:r>
    </w:p>
    <w:p w14:paraId="6ED9E4AC" w14:textId="77777777" w:rsidR="00FC6830" w:rsidRPr="002A4621" w:rsidRDefault="00FC6830" w:rsidP="008B6D4E">
      <w:pPr>
        <w:pStyle w:val="Brdtext"/>
        <w:spacing w:line="240" w:lineRule="auto"/>
        <w:rPr>
          <w:color w:val="000000" w:themeColor="text1"/>
          <w:szCs w:val="22"/>
        </w:rPr>
      </w:pPr>
    </w:p>
    <w:p w14:paraId="3826876E" w14:textId="0693DAC2" w:rsidR="00FC6830" w:rsidRPr="002A4621" w:rsidRDefault="00FC6830" w:rsidP="008B6D4E">
      <w:pPr>
        <w:pStyle w:val="Brdtext"/>
        <w:spacing w:line="240" w:lineRule="auto"/>
        <w:rPr>
          <w:color w:val="000000" w:themeColor="text1"/>
          <w:szCs w:val="22"/>
        </w:rPr>
      </w:pPr>
      <w:r w:rsidRPr="002A4621">
        <w:rPr>
          <w:b/>
          <w:bCs/>
          <w:color w:val="000000" w:themeColor="text1"/>
          <w:szCs w:val="22"/>
        </w:rPr>
        <w:t>Duration of Stay:</w:t>
      </w:r>
      <w:r w:rsidRPr="002A4621">
        <w:rPr>
          <w:color w:val="000000" w:themeColor="text1"/>
          <w:szCs w:val="22"/>
        </w:rPr>
        <w:t xml:space="preserve"> </w:t>
      </w:r>
      <w:r w:rsidR="00BD73D6" w:rsidRPr="00BD73D6">
        <w:rPr>
          <w:color w:val="000000" w:themeColor="text1"/>
          <w:szCs w:val="22"/>
        </w:rPr>
        <w:t xml:space="preserve">The stay must be a minimum of </w:t>
      </w:r>
      <w:r w:rsidR="00BD73D6" w:rsidRPr="00BD73D6">
        <w:rPr>
          <w:b/>
          <w:bCs/>
          <w:color w:val="000000" w:themeColor="text1"/>
          <w:szCs w:val="22"/>
        </w:rPr>
        <w:t xml:space="preserve">5 months </w:t>
      </w:r>
      <w:r w:rsidR="00BD73D6">
        <w:rPr>
          <w:color w:val="000000" w:themeColor="text1"/>
          <w:szCs w:val="22"/>
        </w:rPr>
        <w:t>continuously</w:t>
      </w:r>
      <w:r w:rsidRPr="002A4621">
        <w:rPr>
          <w:color w:val="000000" w:themeColor="text1"/>
          <w:szCs w:val="22"/>
        </w:rPr>
        <w:t>. The mobility should be completed by December 31, 2026, at the latest.</w:t>
      </w:r>
    </w:p>
    <w:p w14:paraId="392664D9" w14:textId="77777777" w:rsidR="00FC6830" w:rsidRPr="002A4621" w:rsidRDefault="00FC6830" w:rsidP="008B6D4E">
      <w:pPr>
        <w:pStyle w:val="Brdtext"/>
        <w:spacing w:line="240" w:lineRule="auto"/>
        <w:rPr>
          <w:color w:val="000000" w:themeColor="text1"/>
          <w:szCs w:val="22"/>
        </w:rPr>
      </w:pPr>
    </w:p>
    <w:p w14:paraId="10F7A32A" w14:textId="478617B8" w:rsidR="00FC6830" w:rsidRPr="002A4621" w:rsidRDefault="00FC6830" w:rsidP="008B6D4E">
      <w:pPr>
        <w:pStyle w:val="Brdtext"/>
        <w:spacing w:line="240" w:lineRule="auto"/>
        <w:rPr>
          <w:color w:val="000000" w:themeColor="text1"/>
          <w:szCs w:val="22"/>
        </w:rPr>
      </w:pPr>
      <w:r w:rsidRPr="002A4621">
        <w:rPr>
          <w:b/>
          <w:bCs/>
          <w:color w:val="000000" w:themeColor="text1"/>
          <w:szCs w:val="22"/>
        </w:rPr>
        <w:lastRenderedPageBreak/>
        <w:t>Mobility partner</w:t>
      </w:r>
      <w:r w:rsidR="0024211F">
        <w:rPr>
          <w:b/>
          <w:bCs/>
          <w:color w:val="000000" w:themeColor="text1"/>
          <w:szCs w:val="22"/>
        </w:rPr>
        <w:t xml:space="preserve"> for outgoing Linnaeus researchers</w:t>
      </w:r>
      <w:r w:rsidRPr="002A4621">
        <w:rPr>
          <w:b/>
          <w:bCs/>
          <w:color w:val="000000" w:themeColor="text1"/>
          <w:szCs w:val="22"/>
        </w:rPr>
        <w:t>:</w:t>
      </w:r>
      <w:r w:rsidRPr="002A4621">
        <w:rPr>
          <w:color w:val="000000" w:themeColor="text1"/>
          <w:szCs w:val="22"/>
        </w:rPr>
        <w:t xml:space="preserve"> The mobility must take place at one of the </w:t>
      </w:r>
      <w:hyperlink r:id="rId10" w:history="1">
        <w:r w:rsidRPr="002A4621">
          <w:rPr>
            <w:rStyle w:val="Hyperlnk"/>
            <w:color w:val="000000" w:themeColor="text1"/>
            <w:szCs w:val="22"/>
          </w:rPr>
          <w:t>MIRAI partner universities in Japan</w:t>
        </w:r>
      </w:hyperlink>
      <w:r w:rsidRPr="002A4621">
        <w:rPr>
          <w:color w:val="000000" w:themeColor="text1"/>
          <w:szCs w:val="22"/>
        </w:rPr>
        <w:t>.</w:t>
      </w:r>
    </w:p>
    <w:p w14:paraId="073B3CEE" w14:textId="77777777" w:rsidR="00FC6830" w:rsidRPr="002A4621" w:rsidRDefault="00FC6830" w:rsidP="008B6D4E">
      <w:pPr>
        <w:pStyle w:val="Brdtext"/>
        <w:spacing w:line="240" w:lineRule="auto"/>
        <w:rPr>
          <w:color w:val="000000" w:themeColor="text1"/>
          <w:szCs w:val="22"/>
        </w:rPr>
      </w:pPr>
    </w:p>
    <w:p w14:paraId="069D328F" w14:textId="77777777" w:rsidR="00FC6830" w:rsidRPr="002A4621" w:rsidRDefault="00FC6830" w:rsidP="008B6D4E">
      <w:pPr>
        <w:pStyle w:val="Default"/>
        <w:jc w:val="both"/>
        <w:rPr>
          <w:rFonts w:ascii="Times New Roman" w:hAnsi="Times New Roman" w:cs="Times New Roman"/>
          <w:color w:val="000000" w:themeColor="text1"/>
          <w:sz w:val="22"/>
          <w:szCs w:val="22"/>
          <w:lang w:val="en-GB"/>
        </w:rPr>
      </w:pPr>
      <w:r w:rsidRPr="002A4621">
        <w:rPr>
          <w:rFonts w:ascii="Times New Roman" w:hAnsi="Times New Roman" w:cs="Times New Roman"/>
          <w:b/>
          <w:bCs/>
          <w:color w:val="000000" w:themeColor="text1"/>
          <w:sz w:val="22"/>
          <w:szCs w:val="22"/>
          <w:lang w:val="en-US"/>
        </w:rPr>
        <w:t>Global Challenge Teams:</w:t>
      </w:r>
      <w:r w:rsidRPr="002A4621">
        <w:rPr>
          <w:rFonts w:ascii="Times New Roman" w:hAnsi="Times New Roman" w:cs="Times New Roman"/>
          <w:color w:val="000000" w:themeColor="text1"/>
          <w:sz w:val="22"/>
          <w:szCs w:val="22"/>
          <w:lang w:val="en-US"/>
        </w:rPr>
        <w:t xml:space="preserve"> Research endeavors should contribute to at least one of the </w:t>
      </w:r>
      <w:hyperlink r:id="rId11" w:history="1">
        <w:r w:rsidRPr="002A4621">
          <w:rPr>
            <w:rStyle w:val="Hyperlnk"/>
            <w:rFonts w:ascii="Times New Roman" w:hAnsi="Times New Roman" w:cs="Times New Roman"/>
            <w:color w:val="000000" w:themeColor="text1"/>
            <w:sz w:val="22"/>
            <w:szCs w:val="22"/>
            <w:lang w:val="en-US" w:eastAsia="sv-SE"/>
          </w:rPr>
          <w:t>MIRAI Global Challenges Teams</w:t>
        </w:r>
      </w:hyperlink>
      <w:r w:rsidRPr="002A4621">
        <w:rPr>
          <w:rFonts w:ascii="Times New Roman" w:hAnsi="Times New Roman" w:cs="Times New Roman"/>
          <w:color w:val="000000" w:themeColor="text1"/>
          <w:sz w:val="22"/>
          <w:szCs w:val="22"/>
          <w:lang w:val="en-US"/>
        </w:rPr>
        <w:t xml:space="preserve"> areas.</w:t>
      </w:r>
    </w:p>
    <w:p w14:paraId="57A93EFC" w14:textId="77777777" w:rsidR="00FC6830" w:rsidRPr="002A4621" w:rsidRDefault="00FC6830" w:rsidP="008B6D4E">
      <w:pPr>
        <w:pStyle w:val="Brdtext"/>
        <w:spacing w:line="240" w:lineRule="auto"/>
        <w:rPr>
          <w:color w:val="000000" w:themeColor="text1"/>
          <w:szCs w:val="22"/>
        </w:rPr>
      </w:pPr>
    </w:p>
    <w:p w14:paraId="12E23BBE" w14:textId="196CF74D" w:rsidR="00FC6830" w:rsidRPr="00EC4EA2" w:rsidRDefault="00855EDE" w:rsidP="008B6D4E">
      <w:pPr>
        <w:pStyle w:val="Brdtext"/>
        <w:spacing w:line="240" w:lineRule="auto"/>
        <w:rPr>
          <w:b/>
          <w:bCs/>
          <w:i/>
          <w:iCs/>
          <w:color w:val="000000" w:themeColor="text1"/>
          <w:szCs w:val="22"/>
        </w:rPr>
      </w:pPr>
      <w:r w:rsidRPr="00855EDE">
        <w:rPr>
          <w:color w:val="000000" w:themeColor="text1"/>
          <w:szCs w:val="22"/>
        </w:rPr>
        <w:t>During the mobility period, researchers will work on their individual projects while being integrated into a research group. PhD students should align the mobility experience with their ongoing studies, while postdoctoral researchers are expected to continue their research. Participation in teaching, seminars, or workshops is encouraged if opportunities arise, but it is neither mandatory nor a requirement for the application.</w:t>
      </w:r>
    </w:p>
    <w:p w14:paraId="0C1A949C" w14:textId="77777777" w:rsidR="00FC6830" w:rsidRPr="002A4621" w:rsidRDefault="00FC6830" w:rsidP="008B6D4E">
      <w:pPr>
        <w:pStyle w:val="Brdtext"/>
        <w:spacing w:line="240" w:lineRule="auto"/>
        <w:rPr>
          <w:color w:val="000000" w:themeColor="text1"/>
          <w:szCs w:val="22"/>
        </w:rPr>
      </w:pPr>
    </w:p>
    <w:p w14:paraId="3D37D486" w14:textId="77777777" w:rsidR="00454908" w:rsidRDefault="00FC6830" w:rsidP="00454908">
      <w:pPr>
        <w:pStyle w:val="Rubrik2"/>
        <w:spacing w:line="240" w:lineRule="auto"/>
        <w:rPr>
          <w:rFonts w:ascii="Times New Roman" w:hAnsi="Times New Roman" w:cs="Times New Roman"/>
          <w:color w:val="000000" w:themeColor="text1"/>
          <w:sz w:val="26"/>
          <w:szCs w:val="26"/>
          <w:lang w:val="en-US"/>
        </w:rPr>
      </w:pPr>
      <w:r w:rsidRPr="00454908">
        <w:rPr>
          <w:rFonts w:ascii="Times New Roman" w:hAnsi="Times New Roman" w:cs="Times New Roman"/>
          <w:color w:val="000000" w:themeColor="text1"/>
          <w:sz w:val="26"/>
          <w:szCs w:val="26"/>
          <w:lang w:val="en-GB"/>
        </w:rPr>
        <w:t>Funding</w:t>
      </w:r>
    </w:p>
    <w:p w14:paraId="10A78BAE" w14:textId="3DFD65D1" w:rsidR="003C3EBA" w:rsidRDefault="00FC6830" w:rsidP="00454908">
      <w:pPr>
        <w:pStyle w:val="Rubrik2"/>
        <w:spacing w:line="240" w:lineRule="auto"/>
        <w:rPr>
          <w:rFonts w:ascii="Times New Roman" w:hAnsi="Times New Roman" w:cs="Times New Roman"/>
          <w:color w:val="000000" w:themeColor="text1"/>
          <w:sz w:val="22"/>
          <w:szCs w:val="22"/>
          <w:lang w:val="en-US"/>
        </w:rPr>
      </w:pPr>
      <w:r w:rsidRPr="002A4621">
        <w:rPr>
          <w:rFonts w:ascii="Times New Roman" w:hAnsi="Times New Roman" w:cs="Times New Roman"/>
          <w:color w:val="000000" w:themeColor="text1"/>
          <w:sz w:val="22"/>
          <w:szCs w:val="22"/>
          <w:lang w:val="en-US"/>
        </w:rPr>
        <w:t xml:space="preserve">The candidate should continue to receive their salary/compensation (without any deductions) from the home university during the duration of stay. The funding for the mobility is hence not intended to cover salary but rather additional costs during the mobility. </w:t>
      </w:r>
      <w:r w:rsidRPr="001A09F9">
        <w:rPr>
          <w:rFonts w:ascii="Times New Roman" w:hAnsi="Times New Roman" w:cs="Times New Roman"/>
          <w:color w:val="000000" w:themeColor="text1"/>
          <w:sz w:val="22"/>
          <w:szCs w:val="22"/>
          <w:lang w:val="en-US"/>
        </w:rPr>
        <w:t xml:space="preserve">Any additional costs above the granted </w:t>
      </w:r>
      <w:r w:rsidR="00FA5AD2" w:rsidRPr="001A09F9">
        <w:rPr>
          <w:rFonts w:ascii="Times New Roman" w:hAnsi="Times New Roman" w:cs="Times New Roman"/>
          <w:color w:val="000000" w:themeColor="text1"/>
          <w:sz w:val="22"/>
          <w:szCs w:val="22"/>
          <w:lang w:val="en-US"/>
        </w:rPr>
        <w:t>funding</w:t>
      </w:r>
      <w:r w:rsidRPr="001A09F9">
        <w:rPr>
          <w:rFonts w:ascii="Times New Roman" w:hAnsi="Times New Roman" w:cs="Times New Roman"/>
          <w:color w:val="000000" w:themeColor="text1"/>
          <w:sz w:val="22"/>
          <w:szCs w:val="22"/>
          <w:lang w:val="en-US"/>
        </w:rPr>
        <w:t xml:space="preserve"> should be covered by the candidate. An interrupted stay</w:t>
      </w:r>
      <w:r w:rsidRPr="002A4621">
        <w:rPr>
          <w:rFonts w:ascii="Times New Roman" w:hAnsi="Times New Roman" w:cs="Times New Roman"/>
          <w:color w:val="000000" w:themeColor="text1"/>
          <w:sz w:val="22"/>
          <w:szCs w:val="22"/>
          <w:lang w:val="en-US"/>
        </w:rPr>
        <w:t xml:space="preserve"> will result in a repayment obligation for the recipien</w:t>
      </w:r>
      <w:r w:rsidR="0040202A">
        <w:rPr>
          <w:rFonts w:ascii="Times New Roman" w:hAnsi="Times New Roman" w:cs="Times New Roman"/>
          <w:color w:val="000000" w:themeColor="text1"/>
          <w:sz w:val="22"/>
          <w:szCs w:val="22"/>
          <w:lang w:val="en-US"/>
        </w:rPr>
        <w:t xml:space="preserve">t. </w:t>
      </w:r>
    </w:p>
    <w:p w14:paraId="4CA816CB" w14:textId="77777777" w:rsidR="00454908" w:rsidRPr="00454908" w:rsidRDefault="00454908" w:rsidP="00454908">
      <w:pPr>
        <w:rPr>
          <w:lang w:val="en-US" w:eastAsia="en-US"/>
        </w:rPr>
      </w:pPr>
    </w:p>
    <w:p w14:paraId="04D33C20" w14:textId="567A07B5" w:rsidR="00FC6830" w:rsidRPr="002A4621" w:rsidRDefault="00FC6830" w:rsidP="008B6D4E">
      <w:pPr>
        <w:pStyle w:val="Rubrik3"/>
        <w:spacing w:line="240" w:lineRule="auto"/>
        <w:rPr>
          <w:rFonts w:ascii="Times New Roman" w:hAnsi="Times New Roman" w:cs="Times New Roman"/>
          <w:b/>
          <w:bCs/>
          <w:color w:val="000000" w:themeColor="text1"/>
          <w:sz w:val="22"/>
          <w:szCs w:val="22"/>
          <w:lang w:val="en-US"/>
        </w:rPr>
      </w:pPr>
      <w:r w:rsidRPr="002A4621">
        <w:rPr>
          <w:rFonts w:ascii="Times New Roman" w:hAnsi="Times New Roman" w:cs="Times New Roman"/>
          <w:b/>
          <w:bCs/>
          <w:color w:val="000000" w:themeColor="text1"/>
          <w:sz w:val="22"/>
          <w:szCs w:val="22"/>
          <w:lang w:val="en-US"/>
        </w:rPr>
        <w:t>Linnaeus University applicants to Japan</w:t>
      </w:r>
    </w:p>
    <w:p w14:paraId="36B64901" w14:textId="28522213" w:rsidR="00FC6830" w:rsidRDefault="00FC6830" w:rsidP="008B6D4E">
      <w:pPr>
        <w:pStyle w:val="Brdtext"/>
        <w:spacing w:line="240" w:lineRule="auto"/>
        <w:rPr>
          <w:color w:val="000000" w:themeColor="text1"/>
          <w:szCs w:val="22"/>
        </w:rPr>
      </w:pPr>
      <w:r w:rsidRPr="002A4621">
        <w:rPr>
          <w:color w:val="000000" w:themeColor="text1"/>
          <w:szCs w:val="22"/>
        </w:rPr>
        <w:t xml:space="preserve">All selected </w:t>
      </w:r>
      <w:r w:rsidRPr="00C07D12">
        <w:rPr>
          <w:b/>
          <w:bCs/>
          <w:color w:val="000000" w:themeColor="text1"/>
          <w:szCs w:val="22"/>
        </w:rPr>
        <w:t>Linnaeus University</w:t>
      </w:r>
      <w:r w:rsidRPr="002A4621">
        <w:rPr>
          <w:color w:val="000000" w:themeColor="text1"/>
          <w:szCs w:val="22"/>
        </w:rPr>
        <w:t xml:space="preserve"> applicants sign a </w:t>
      </w:r>
      <w:hyperlink r:id="rId12" w:history="1">
        <w:r w:rsidRPr="002A4621">
          <w:rPr>
            <w:rStyle w:val="Hyperlnk"/>
            <w:color w:val="000000" w:themeColor="text1"/>
            <w:szCs w:val="22"/>
          </w:rPr>
          <w:t>URA contract</w:t>
        </w:r>
      </w:hyperlink>
      <w:r w:rsidRPr="002A4621">
        <w:rPr>
          <w:color w:val="000000" w:themeColor="text1"/>
          <w:szCs w:val="22"/>
        </w:rPr>
        <w:t xml:space="preserve">, which will be administered locally </w:t>
      </w:r>
      <w:r w:rsidRPr="00047212">
        <w:rPr>
          <w:color w:val="000000" w:themeColor="text1"/>
          <w:szCs w:val="22"/>
        </w:rPr>
        <w:t xml:space="preserve">by the HR </w:t>
      </w:r>
      <w:r w:rsidR="00C07D12">
        <w:rPr>
          <w:color w:val="000000" w:themeColor="text1"/>
          <w:szCs w:val="22"/>
        </w:rPr>
        <w:t>partner</w:t>
      </w:r>
      <w:r w:rsidRPr="00047212">
        <w:rPr>
          <w:color w:val="000000" w:themeColor="text1"/>
          <w:szCs w:val="22"/>
        </w:rPr>
        <w:t xml:space="preserve"> for the respective department. While the URA contract states maximum amounts, each URA contract is customized and calculated individually depending on the needs of the candidate</w:t>
      </w:r>
      <w:r w:rsidR="00047212" w:rsidRPr="00047212">
        <w:rPr>
          <w:color w:val="000000" w:themeColor="text1"/>
          <w:szCs w:val="22"/>
        </w:rPr>
        <w:t xml:space="preserve">. </w:t>
      </w:r>
      <w:r w:rsidRPr="002A4621">
        <w:rPr>
          <w:color w:val="000000" w:themeColor="text1"/>
          <w:szCs w:val="22"/>
        </w:rPr>
        <w:t xml:space="preserve">The employee is covered by an </w:t>
      </w:r>
      <w:hyperlink r:id="rId13" w:history="1">
        <w:r w:rsidRPr="002A4621">
          <w:rPr>
            <w:rStyle w:val="Hyperlnk"/>
            <w:color w:val="000000" w:themeColor="text1"/>
            <w:szCs w:val="22"/>
          </w:rPr>
          <w:t xml:space="preserve">URA insurance through </w:t>
        </w:r>
        <w:proofErr w:type="spellStart"/>
        <w:r w:rsidRPr="002A4621">
          <w:rPr>
            <w:rStyle w:val="Hyperlnk"/>
            <w:color w:val="000000" w:themeColor="text1"/>
            <w:szCs w:val="22"/>
          </w:rPr>
          <w:t>Kammarkollegiet</w:t>
        </w:r>
        <w:proofErr w:type="spellEnd"/>
      </w:hyperlink>
      <w:r w:rsidRPr="002A4621">
        <w:rPr>
          <w:color w:val="000000" w:themeColor="text1"/>
          <w:szCs w:val="22"/>
        </w:rPr>
        <w:t xml:space="preserve">. </w:t>
      </w:r>
    </w:p>
    <w:p w14:paraId="3FDCBC92" w14:textId="77777777" w:rsidR="00AF1F74" w:rsidRDefault="00AF1F74" w:rsidP="008B6D4E">
      <w:pPr>
        <w:pStyle w:val="Brdtext"/>
        <w:spacing w:line="240" w:lineRule="auto"/>
        <w:rPr>
          <w:color w:val="000000" w:themeColor="text1"/>
          <w:szCs w:val="22"/>
        </w:rPr>
      </w:pPr>
    </w:p>
    <w:p w14:paraId="0A1B79BE" w14:textId="33880B8D" w:rsidR="00FC6830" w:rsidRPr="002549BC" w:rsidRDefault="00E60CAC" w:rsidP="008B6D4E">
      <w:pPr>
        <w:pStyle w:val="Brdtext"/>
        <w:spacing w:line="240" w:lineRule="auto"/>
        <w:rPr>
          <w:color w:val="000000" w:themeColor="text1"/>
          <w:szCs w:val="22"/>
        </w:rPr>
      </w:pPr>
      <w:r w:rsidRPr="00E60CAC">
        <w:rPr>
          <w:color w:val="000000" w:themeColor="text1"/>
          <w:szCs w:val="22"/>
          <w:lang w:val="en-US"/>
        </w:rPr>
        <w:t>Please note that your department’s HR partner arranges the URA contract. Since this process may take time, applicants are responsible for reaching out to their HR partner to understand the expected processing time and requirements. Be sure to factor this into your mobility planning</w:t>
      </w:r>
    </w:p>
    <w:p w14:paraId="5B1A2159" w14:textId="77777777" w:rsidR="00FC6830" w:rsidRPr="002A4621" w:rsidRDefault="00FC6830" w:rsidP="008B6D4E">
      <w:pPr>
        <w:pStyle w:val="Brdtext"/>
        <w:spacing w:line="240" w:lineRule="auto"/>
        <w:rPr>
          <w:color w:val="000000" w:themeColor="text1"/>
          <w:szCs w:val="22"/>
        </w:rPr>
      </w:pPr>
      <w:r w:rsidRPr="002A4621">
        <w:rPr>
          <w:color w:val="000000" w:themeColor="text1"/>
          <w:szCs w:val="22"/>
        </w:rPr>
        <w:t>Funding is available in standard amounts from the URA contract as follows:</w:t>
      </w:r>
    </w:p>
    <w:p w14:paraId="147E3D6F" w14:textId="77777777" w:rsidR="00FC6830" w:rsidRPr="002A4621" w:rsidRDefault="00FC6830" w:rsidP="008B6D4E">
      <w:pPr>
        <w:pStyle w:val="Brdtext"/>
        <w:spacing w:line="240" w:lineRule="auto"/>
        <w:rPr>
          <w:color w:val="000000" w:themeColor="text1"/>
          <w:szCs w:val="22"/>
        </w:rPr>
      </w:pPr>
    </w:p>
    <w:p w14:paraId="4A078698" w14:textId="3678E235" w:rsidR="00FC6830" w:rsidRPr="002A4621" w:rsidRDefault="00FC6830" w:rsidP="008B6D4E">
      <w:pPr>
        <w:pStyle w:val="Brdtext"/>
        <w:spacing w:line="240" w:lineRule="auto"/>
        <w:rPr>
          <w:color w:val="000000" w:themeColor="text1"/>
          <w:szCs w:val="22"/>
        </w:rPr>
      </w:pPr>
      <w:r w:rsidRPr="002A4621">
        <w:rPr>
          <w:b/>
          <w:bCs/>
          <w:color w:val="000000" w:themeColor="text1"/>
          <w:szCs w:val="22"/>
        </w:rPr>
        <w:t>Monthly subsistence allowance:</w:t>
      </w:r>
      <w:r w:rsidRPr="002A4621">
        <w:rPr>
          <w:color w:val="000000" w:themeColor="text1"/>
          <w:szCs w:val="22"/>
        </w:rPr>
        <w:t xml:space="preserve"> Maximum 6</w:t>
      </w:r>
      <w:r w:rsidR="00BF013A">
        <w:rPr>
          <w:color w:val="000000" w:themeColor="text1"/>
          <w:szCs w:val="22"/>
        </w:rPr>
        <w:t xml:space="preserve"> </w:t>
      </w:r>
      <w:r w:rsidRPr="002A4621">
        <w:rPr>
          <w:color w:val="000000" w:themeColor="text1"/>
          <w:szCs w:val="22"/>
        </w:rPr>
        <w:t>318 SEK per month, tax-free (subject to revision twice a year by the Swedish Agency for Government Employers).</w:t>
      </w:r>
    </w:p>
    <w:p w14:paraId="1DC342B2" w14:textId="280DEC34" w:rsidR="00FC6830" w:rsidRPr="002A4621" w:rsidRDefault="00FC6830" w:rsidP="008B6D4E">
      <w:pPr>
        <w:pStyle w:val="Brdtext"/>
        <w:spacing w:line="240" w:lineRule="auto"/>
        <w:rPr>
          <w:color w:val="000000" w:themeColor="text1"/>
          <w:szCs w:val="22"/>
        </w:rPr>
      </w:pPr>
      <w:r w:rsidRPr="002A4621">
        <w:rPr>
          <w:b/>
          <w:bCs/>
          <w:color w:val="000000" w:themeColor="text1"/>
          <w:szCs w:val="22"/>
        </w:rPr>
        <w:t>Travel expenses:</w:t>
      </w:r>
      <w:r w:rsidRPr="002A4621">
        <w:rPr>
          <w:color w:val="000000" w:themeColor="text1"/>
          <w:szCs w:val="22"/>
        </w:rPr>
        <w:t xml:space="preserve"> Up to 20</w:t>
      </w:r>
      <w:r w:rsidR="00BF013A">
        <w:rPr>
          <w:color w:val="000000" w:themeColor="text1"/>
          <w:szCs w:val="22"/>
        </w:rPr>
        <w:t xml:space="preserve"> </w:t>
      </w:r>
      <w:r w:rsidRPr="002A4621">
        <w:rPr>
          <w:color w:val="000000" w:themeColor="text1"/>
          <w:szCs w:val="22"/>
        </w:rPr>
        <w:t>000 SEK for round-trip economy-class flights to and from Japan (must comply with Lnu travel policies).</w:t>
      </w:r>
    </w:p>
    <w:p w14:paraId="66E27975" w14:textId="77777777" w:rsidR="00FC6830" w:rsidRPr="002A4621" w:rsidRDefault="00FC6830" w:rsidP="008B6D4E">
      <w:pPr>
        <w:pStyle w:val="Brdtext"/>
        <w:spacing w:line="240" w:lineRule="auto"/>
        <w:rPr>
          <w:color w:val="000000" w:themeColor="text1"/>
          <w:szCs w:val="22"/>
        </w:rPr>
      </w:pPr>
      <w:r w:rsidRPr="002A4621">
        <w:rPr>
          <w:b/>
          <w:bCs/>
          <w:color w:val="000000" w:themeColor="text1"/>
          <w:szCs w:val="22"/>
        </w:rPr>
        <w:t>Housing:</w:t>
      </w:r>
      <w:r w:rsidRPr="002A4621">
        <w:rPr>
          <w:color w:val="000000" w:themeColor="text1"/>
          <w:szCs w:val="22"/>
        </w:rPr>
        <w:t xml:space="preserve"> Accommodation costs (rent) in Japan are reimbursed based on actual expenses, up to a maximum of 10,000 SEK per month. </w:t>
      </w:r>
    </w:p>
    <w:p w14:paraId="195A72B2" w14:textId="4FE5BAB5" w:rsidR="00FC6830" w:rsidRPr="002A4621" w:rsidRDefault="00FC6830" w:rsidP="008B6D4E">
      <w:pPr>
        <w:pStyle w:val="Brdtext"/>
        <w:spacing w:line="240" w:lineRule="auto"/>
        <w:rPr>
          <w:color w:val="000000" w:themeColor="text1"/>
          <w:szCs w:val="22"/>
        </w:rPr>
      </w:pPr>
      <w:r w:rsidRPr="002A4621">
        <w:rPr>
          <w:b/>
          <w:bCs/>
          <w:color w:val="000000" w:themeColor="text1"/>
          <w:szCs w:val="22"/>
        </w:rPr>
        <w:t>Expenses for accompanying family</w:t>
      </w:r>
      <w:r w:rsidRPr="002A4621">
        <w:rPr>
          <w:color w:val="000000" w:themeColor="text1"/>
          <w:szCs w:val="22"/>
        </w:rPr>
        <w:t>: Up to 30</w:t>
      </w:r>
      <w:r w:rsidR="00BF013A">
        <w:rPr>
          <w:color w:val="000000" w:themeColor="text1"/>
          <w:szCs w:val="22"/>
        </w:rPr>
        <w:t xml:space="preserve"> </w:t>
      </w:r>
      <w:r w:rsidRPr="002A4621">
        <w:rPr>
          <w:color w:val="000000" w:themeColor="text1"/>
          <w:szCs w:val="22"/>
        </w:rPr>
        <w:t>000 SEK for accompanying family members (spouse/partner and/or dependent children), which may be used for travel costs and/or to cover maintenance allowance.</w:t>
      </w:r>
    </w:p>
    <w:p w14:paraId="3A840A54" w14:textId="63087FAB" w:rsidR="00FC6830" w:rsidRDefault="00FC6830" w:rsidP="008B6D4E">
      <w:pPr>
        <w:pStyle w:val="Brdtext"/>
        <w:spacing w:line="240" w:lineRule="auto"/>
        <w:rPr>
          <w:color w:val="000000" w:themeColor="text1"/>
          <w:szCs w:val="22"/>
        </w:rPr>
      </w:pPr>
      <w:r w:rsidRPr="002A4621">
        <w:rPr>
          <w:b/>
          <w:bCs/>
          <w:color w:val="000000" w:themeColor="text1"/>
          <w:szCs w:val="22"/>
        </w:rPr>
        <w:t>Visitor fees:</w:t>
      </w:r>
      <w:r w:rsidRPr="002A4621">
        <w:rPr>
          <w:color w:val="000000" w:themeColor="text1"/>
          <w:szCs w:val="22"/>
        </w:rPr>
        <w:t xml:space="preserve"> If the host university charges fees for office space or other facilities, up to 3</w:t>
      </w:r>
      <w:r w:rsidR="00BF013A">
        <w:rPr>
          <w:color w:val="000000" w:themeColor="text1"/>
          <w:szCs w:val="22"/>
        </w:rPr>
        <w:t xml:space="preserve"> </w:t>
      </w:r>
      <w:r w:rsidRPr="002A4621">
        <w:rPr>
          <w:color w:val="000000" w:themeColor="text1"/>
          <w:szCs w:val="22"/>
        </w:rPr>
        <w:t>000 SEK per month may be covered.</w:t>
      </w:r>
    </w:p>
    <w:p w14:paraId="03EA624E" w14:textId="77777777" w:rsidR="0040202A" w:rsidRPr="002A4621" w:rsidRDefault="0040202A" w:rsidP="008B6D4E">
      <w:pPr>
        <w:pStyle w:val="Brdtext"/>
        <w:spacing w:line="240" w:lineRule="auto"/>
        <w:rPr>
          <w:color w:val="000000" w:themeColor="text1"/>
          <w:szCs w:val="22"/>
        </w:rPr>
      </w:pPr>
    </w:p>
    <w:p w14:paraId="18A9EC6E" w14:textId="3F7790C3" w:rsidR="00FC6830" w:rsidRPr="0022214B" w:rsidRDefault="002D0579" w:rsidP="0022214B">
      <w:pPr>
        <w:pStyle w:val="Rubrik4"/>
        <w:spacing w:line="240" w:lineRule="auto"/>
        <w:rPr>
          <w:rFonts w:ascii="Times New Roman" w:hAnsi="Times New Roman" w:cs="Times New Roman"/>
          <w:i w:val="0"/>
          <w:iCs w:val="0"/>
          <w:color w:val="000000" w:themeColor="text1"/>
          <w:sz w:val="22"/>
          <w:szCs w:val="22"/>
          <w:lang w:val="en-US"/>
        </w:rPr>
      </w:pPr>
      <w:r>
        <w:rPr>
          <w:rFonts w:ascii="Times New Roman" w:hAnsi="Times New Roman" w:cs="Times New Roman"/>
          <w:b/>
          <w:bCs/>
          <w:i w:val="0"/>
          <w:iCs w:val="0"/>
          <w:color w:val="000000" w:themeColor="text1"/>
          <w:sz w:val="22"/>
          <w:szCs w:val="22"/>
          <w:lang w:val="en-US"/>
        </w:rPr>
        <w:t>Sophia University applicants</w:t>
      </w:r>
      <w:r w:rsidR="00FC6830" w:rsidRPr="0022214B">
        <w:rPr>
          <w:rFonts w:ascii="Times New Roman" w:hAnsi="Times New Roman" w:cs="Times New Roman"/>
          <w:b/>
          <w:bCs/>
          <w:i w:val="0"/>
          <w:iCs w:val="0"/>
          <w:color w:val="000000" w:themeColor="text1"/>
          <w:sz w:val="22"/>
          <w:szCs w:val="22"/>
          <w:lang w:val="en-US"/>
        </w:rPr>
        <w:t xml:space="preserve"> to Linnaeus University</w:t>
      </w:r>
    </w:p>
    <w:p w14:paraId="49E000DE" w14:textId="5E69A8CE" w:rsidR="00FC6830" w:rsidRPr="002A4621" w:rsidRDefault="00FC6830" w:rsidP="008B6D4E">
      <w:pPr>
        <w:pStyle w:val="Brdtext"/>
        <w:spacing w:line="240" w:lineRule="auto"/>
        <w:rPr>
          <w:color w:val="000000" w:themeColor="text1"/>
          <w:szCs w:val="22"/>
        </w:rPr>
      </w:pPr>
      <w:r w:rsidRPr="002A4621">
        <w:rPr>
          <w:color w:val="000000" w:themeColor="text1"/>
          <w:szCs w:val="22"/>
        </w:rPr>
        <w:t xml:space="preserve">The funding for the incoming Japanese researcher will be paid directly to the Japanese recipient via Kyushu University. </w:t>
      </w:r>
      <w:r w:rsidR="0040202A" w:rsidRPr="0040202A">
        <w:rPr>
          <w:i/>
          <w:iCs/>
          <w:color w:val="000000" w:themeColor="text1"/>
          <w:szCs w:val="22"/>
        </w:rPr>
        <w:t>Details on</w:t>
      </w:r>
      <w:r w:rsidR="0040202A">
        <w:rPr>
          <w:i/>
          <w:iCs/>
          <w:color w:val="000000" w:themeColor="text1"/>
          <w:szCs w:val="22"/>
        </w:rPr>
        <w:t xml:space="preserve"> how the </w:t>
      </w:r>
      <w:r w:rsidR="0040202A" w:rsidRPr="0040202A">
        <w:rPr>
          <w:i/>
          <w:iCs/>
          <w:color w:val="000000" w:themeColor="text1"/>
          <w:szCs w:val="22"/>
        </w:rPr>
        <w:t xml:space="preserve">payment will </w:t>
      </w:r>
      <w:r w:rsidR="0040202A">
        <w:rPr>
          <w:i/>
          <w:iCs/>
          <w:color w:val="000000" w:themeColor="text1"/>
          <w:szCs w:val="22"/>
        </w:rPr>
        <w:t xml:space="preserve">be made will </w:t>
      </w:r>
      <w:r w:rsidR="0040202A" w:rsidRPr="0040202A">
        <w:rPr>
          <w:i/>
          <w:iCs/>
          <w:color w:val="000000" w:themeColor="text1"/>
          <w:szCs w:val="22"/>
        </w:rPr>
        <w:t>come later.</w:t>
      </w:r>
    </w:p>
    <w:p w14:paraId="318E1460" w14:textId="77777777" w:rsidR="00FC6830" w:rsidRPr="002A4621" w:rsidRDefault="00FC6830" w:rsidP="008B6D4E">
      <w:pPr>
        <w:pStyle w:val="Brdtext"/>
        <w:spacing w:line="240" w:lineRule="auto"/>
        <w:rPr>
          <w:color w:val="000000" w:themeColor="text1"/>
          <w:szCs w:val="22"/>
        </w:rPr>
      </w:pPr>
    </w:p>
    <w:p w14:paraId="32B0648B" w14:textId="052FF7F8" w:rsidR="00FC6830" w:rsidRPr="002A4621" w:rsidRDefault="00FC6830" w:rsidP="008B6D4E">
      <w:pPr>
        <w:pStyle w:val="Brdtext"/>
        <w:spacing w:line="240" w:lineRule="auto"/>
        <w:rPr>
          <w:color w:val="000000" w:themeColor="text1"/>
          <w:szCs w:val="22"/>
        </w:rPr>
      </w:pPr>
      <w:r w:rsidRPr="002A4621">
        <w:rPr>
          <w:b/>
          <w:bCs/>
          <w:color w:val="000000" w:themeColor="text1"/>
          <w:szCs w:val="22"/>
        </w:rPr>
        <w:t>Monthly subsistence allowance:</w:t>
      </w:r>
      <w:r w:rsidRPr="002A4621">
        <w:rPr>
          <w:color w:val="000000" w:themeColor="text1"/>
          <w:szCs w:val="22"/>
        </w:rPr>
        <w:t xml:space="preserve"> 6</w:t>
      </w:r>
      <w:r w:rsidR="00BF013A">
        <w:rPr>
          <w:color w:val="000000" w:themeColor="text1"/>
          <w:szCs w:val="22"/>
        </w:rPr>
        <w:t xml:space="preserve"> </w:t>
      </w:r>
      <w:r w:rsidRPr="002A4621">
        <w:rPr>
          <w:color w:val="000000" w:themeColor="text1"/>
          <w:szCs w:val="22"/>
        </w:rPr>
        <w:t>318 SEK per month</w:t>
      </w:r>
      <w:r w:rsidR="00E60CAC">
        <w:rPr>
          <w:color w:val="000000" w:themeColor="text1"/>
          <w:szCs w:val="22"/>
        </w:rPr>
        <w:t>.</w:t>
      </w:r>
    </w:p>
    <w:p w14:paraId="340DEEC8" w14:textId="54696C93" w:rsidR="00FC6830" w:rsidRPr="002A4621" w:rsidRDefault="00FC6830" w:rsidP="008B6D4E">
      <w:pPr>
        <w:pStyle w:val="Brdtext"/>
        <w:spacing w:line="240" w:lineRule="auto"/>
        <w:rPr>
          <w:color w:val="000000" w:themeColor="text1"/>
          <w:szCs w:val="22"/>
        </w:rPr>
      </w:pPr>
      <w:r w:rsidRPr="002A4621">
        <w:rPr>
          <w:b/>
          <w:bCs/>
          <w:color w:val="000000" w:themeColor="text1"/>
          <w:szCs w:val="22"/>
        </w:rPr>
        <w:t>Travel expenses:</w:t>
      </w:r>
      <w:r w:rsidRPr="002A4621">
        <w:rPr>
          <w:color w:val="000000" w:themeColor="text1"/>
          <w:szCs w:val="22"/>
        </w:rPr>
        <w:t xml:space="preserve"> 20</w:t>
      </w:r>
      <w:r w:rsidR="00BF013A">
        <w:rPr>
          <w:color w:val="000000" w:themeColor="text1"/>
          <w:szCs w:val="22"/>
        </w:rPr>
        <w:t xml:space="preserve"> </w:t>
      </w:r>
      <w:r w:rsidRPr="002A4621">
        <w:rPr>
          <w:color w:val="000000" w:themeColor="text1"/>
          <w:szCs w:val="22"/>
        </w:rPr>
        <w:t>000 SEK for round-trip economy-class flights to and from Japan.</w:t>
      </w:r>
    </w:p>
    <w:p w14:paraId="158E30AC" w14:textId="263132E9" w:rsidR="00FC6830" w:rsidRPr="002A4621" w:rsidRDefault="00FC6830" w:rsidP="008B6D4E">
      <w:pPr>
        <w:pStyle w:val="Brdtext"/>
        <w:spacing w:line="240" w:lineRule="auto"/>
        <w:rPr>
          <w:color w:val="000000" w:themeColor="text1"/>
          <w:szCs w:val="22"/>
        </w:rPr>
      </w:pPr>
      <w:r w:rsidRPr="002A4621">
        <w:rPr>
          <w:b/>
          <w:bCs/>
          <w:color w:val="000000" w:themeColor="text1"/>
          <w:szCs w:val="22"/>
        </w:rPr>
        <w:t>Housing:</w:t>
      </w:r>
      <w:r w:rsidRPr="002A4621">
        <w:rPr>
          <w:color w:val="000000" w:themeColor="text1"/>
          <w:szCs w:val="22"/>
        </w:rPr>
        <w:t xml:space="preserve"> Accommodation costs (rent) in Sweden of 10</w:t>
      </w:r>
      <w:r w:rsidR="00BF013A">
        <w:rPr>
          <w:color w:val="000000" w:themeColor="text1"/>
          <w:szCs w:val="22"/>
        </w:rPr>
        <w:t xml:space="preserve"> </w:t>
      </w:r>
      <w:r w:rsidRPr="002A4621">
        <w:rPr>
          <w:color w:val="000000" w:themeColor="text1"/>
          <w:szCs w:val="22"/>
        </w:rPr>
        <w:t xml:space="preserve">000 SEK per month. </w:t>
      </w:r>
    </w:p>
    <w:p w14:paraId="0AEDEAF0" w14:textId="2A6A29C8" w:rsidR="00FC6830" w:rsidRPr="002A4621" w:rsidRDefault="00FC6830" w:rsidP="0022214B">
      <w:pPr>
        <w:pStyle w:val="Brdtext"/>
        <w:spacing w:line="240" w:lineRule="auto"/>
        <w:rPr>
          <w:color w:val="000000" w:themeColor="text1"/>
          <w:szCs w:val="22"/>
        </w:rPr>
      </w:pPr>
      <w:r w:rsidRPr="002A4621">
        <w:rPr>
          <w:b/>
          <w:bCs/>
          <w:color w:val="000000" w:themeColor="text1"/>
          <w:szCs w:val="22"/>
        </w:rPr>
        <w:t>Expenses for accompanying family</w:t>
      </w:r>
      <w:r w:rsidRPr="002A4621">
        <w:rPr>
          <w:color w:val="000000" w:themeColor="text1"/>
          <w:szCs w:val="22"/>
        </w:rPr>
        <w:t>: 30</w:t>
      </w:r>
      <w:r w:rsidR="00BF013A">
        <w:rPr>
          <w:color w:val="000000" w:themeColor="text1"/>
          <w:szCs w:val="22"/>
        </w:rPr>
        <w:t xml:space="preserve"> </w:t>
      </w:r>
      <w:r w:rsidRPr="002A4621">
        <w:rPr>
          <w:color w:val="000000" w:themeColor="text1"/>
          <w:szCs w:val="22"/>
        </w:rPr>
        <w:t>000 SEK for accompanying family members (spouse/partner and/or dependent children), which may be used for travel costs and/or to cover maintenance allowance.</w:t>
      </w:r>
    </w:p>
    <w:p w14:paraId="645AB25B" w14:textId="4B5F0AB6" w:rsidR="00FC6830" w:rsidRPr="002A4621" w:rsidRDefault="00FC6830" w:rsidP="0022214B">
      <w:pPr>
        <w:pStyle w:val="Brdtext"/>
        <w:spacing w:line="240" w:lineRule="auto"/>
        <w:rPr>
          <w:color w:val="000000" w:themeColor="text1"/>
          <w:szCs w:val="22"/>
        </w:rPr>
      </w:pPr>
      <w:r w:rsidRPr="002A4621">
        <w:rPr>
          <w:b/>
          <w:bCs/>
          <w:color w:val="000000" w:themeColor="text1"/>
          <w:szCs w:val="22"/>
        </w:rPr>
        <w:lastRenderedPageBreak/>
        <w:t>Visitor fees:</w:t>
      </w:r>
      <w:r w:rsidRPr="002A4621">
        <w:rPr>
          <w:color w:val="000000" w:themeColor="text1"/>
          <w:szCs w:val="22"/>
        </w:rPr>
        <w:t xml:space="preserve"> If the host university charges fees for office space, bench fee or other facilities 3</w:t>
      </w:r>
      <w:r w:rsidR="00BF013A">
        <w:rPr>
          <w:color w:val="000000" w:themeColor="text1"/>
          <w:szCs w:val="22"/>
        </w:rPr>
        <w:t xml:space="preserve"> </w:t>
      </w:r>
      <w:r w:rsidRPr="002A4621">
        <w:rPr>
          <w:color w:val="000000" w:themeColor="text1"/>
          <w:szCs w:val="22"/>
        </w:rPr>
        <w:t>000 SEK per month may be covered</w:t>
      </w:r>
      <w:r w:rsidR="00BE62F7">
        <w:rPr>
          <w:color w:val="000000" w:themeColor="text1"/>
          <w:szCs w:val="22"/>
        </w:rPr>
        <w:t>.</w:t>
      </w:r>
    </w:p>
    <w:p w14:paraId="743D100A" w14:textId="77777777" w:rsidR="00FC6830" w:rsidRPr="0022214B" w:rsidRDefault="00FC6830" w:rsidP="0022214B">
      <w:pPr>
        <w:pStyle w:val="Brdtext"/>
        <w:spacing w:line="240" w:lineRule="auto"/>
        <w:rPr>
          <w:color w:val="000000" w:themeColor="text1"/>
          <w:szCs w:val="22"/>
          <w:lang w:val="en-US"/>
        </w:rPr>
      </w:pPr>
    </w:p>
    <w:p w14:paraId="659D3A54" w14:textId="77777777" w:rsidR="00FC6830" w:rsidRPr="00450A36" w:rsidRDefault="00FC6830" w:rsidP="0022214B">
      <w:pPr>
        <w:pStyle w:val="Rubrik3"/>
        <w:spacing w:line="240" w:lineRule="auto"/>
        <w:rPr>
          <w:rFonts w:ascii="Times New Roman" w:hAnsi="Times New Roman" w:cs="Times New Roman"/>
          <w:b/>
          <w:bCs/>
          <w:color w:val="000000" w:themeColor="text1"/>
          <w:sz w:val="22"/>
          <w:szCs w:val="22"/>
          <w:lang w:val="en-US"/>
        </w:rPr>
      </w:pPr>
      <w:r w:rsidRPr="00450A36">
        <w:rPr>
          <w:rFonts w:ascii="Times New Roman" w:hAnsi="Times New Roman" w:cs="Times New Roman"/>
          <w:b/>
          <w:bCs/>
          <w:color w:val="000000" w:themeColor="text1"/>
          <w:sz w:val="22"/>
          <w:szCs w:val="22"/>
          <w:lang w:val="en-US"/>
        </w:rPr>
        <w:t>Insurance</w:t>
      </w:r>
    </w:p>
    <w:p w14:paraId="2620CD1F" w14:textId="6B1C4E1C" w:rsidR="002A4621" w:rsidRPr="004169AF" w:rsidRDefault="00FC6830" w:rsidP="0022214B">
      <w:pPr>
        <w:rPr>
          <w:color w:val="000000" w:themeColor="text1"/>
          <w:sz w:val="22"/>
          <w:szCs w:val="22"/>
          <w:lang w:val="en-US"/>
        </w:rPr>
      </w:pPr>
      <w:r w:rsidRPr="0022214B">
        <w:rPr>
          <w:color w:val="000000" w:themeColor="text1"/>
          <w:sz w:val="22"/>
          <w:szCs w:val="22"/>
          <w:lang w:val="en-US"/>
        </w:rPr>
        <w:t xml:space="preserve">All recipients will be insured through </w:t>
      </w:r>
      <w:r w:rsidRPr="0022214B">
        <w:rPr>
          <w:b/>
          <w:bCs/>
          <w:color w:val="000000" w:themeColor="text1"/>
          <w:sz w:val="22"/>
          <w:szCs w:val="22"/>
          <w:lang w:val="en-US"/>
        </w:rPr>
        <w:t>Kammarkollegiet</w:t>
      </w:r>
      <w:r w:rsidRPr="0022214B">
        <w:rPr>
          <w:color w:val="000000" w:themeColor="text1"/>
          <w:sz w:val="22"/>
          <w:szCs w:val="22"/>
          <w:lang w:val="en-US"/>
        </w:rPr>
        <w:t xml:space="preserve">. For incoming Japanese researchers, please see </w:t>
      </w:r>
      <w:r w:rsidRPr="00047212">
        <w:rPr>
          <w:color w:val="000000" w:themeColor="text1"/>
          <w:sz w:val="22"/>
          <w:szCs w:val="22"/>
          <w:lang w:val="en-US"/>
        </w:rPr>
        <w:t>details</w:t>
      </w:r>
      <w:r w:rsidR="00047212">
        <w:rPr>
          <w:color w:val="000000" w:themeColor="text1"/>
          <w:sz w:val="22"/>
          <w:szCs w:val="22"/>
          <w:lang w:val="en-US"/>
        </w:rPr>
        <w:t xml:space="preserve"> </w:t>
      </w:r>
      <w:hyperlink r:id="rId14" w:history="1">
        <w:r w:rsidR="00047212" w:rsidRPr="00047212">
          <w:rPr>
            <w:rStyle w:val="Hyperlnk"/>
            <w:sz w:val="22"/>
            <w:szCs w:val="22"/>
            <w:lang w:val="en-US"/>
          </w:rPr>
          <w:t>here</w:t>
        </w:r>
      </w:hyperlink>
      <w:r w:rsidRPr="00047212">
        <w:rPr>
          <w:color w:val="000000" w:themeColor="text1"/>
          <w:sz w:val="22"/>
          <w:szCs w:val="22"/>
          <w:lang w:val="en-US"/>
        </w:rPr>
        <w:t xml:space="preserve">. </w:t>
      </w:r>
      <w:r w:rsidR="004169AF" w:rsidRPr="004169AF">
        <w:rPr>
          <w:color w:val="000000" w:themeColor="text1"/>
          <w:sz w:val="22"/>
          <w:szCs w:val="22"/>
          <w:lang w:val="en-US"/>
        </w:rPr>
        <w:t xml:space="preserve">For Swedish recipients, see link under </w:t>
      </w:r>
      <w:r w:rsidR="004169AF" w:rsidRPr="004169AF">
        <w:rPr>
          <w:i/>
          <w:iCs/>
          <w:color w:val="000000" w:themeColor="text1"/>
          <w:sz w:val="22"/>
          <w:szCs w:val="22"/>
          <w:lang w:val="en-US"/>
        </w:rPr>
        <w:t>Linnaeus University applicants to Japan</w:t>
      </w:r>
      <w:r w:rsidR="004169AF" w:rsidRPr="004169AF">
        <w:rPr>
          <w:color w:val="000000" w:themeColor="text1"/>
          <w:sz w:val="22"/>
          <w:szCs w:val="22"/>
          <w:lang w:val="en-US"/>
        </w:rPr>
        <w:t xml:space="preserve">. If you have a </w:t>
      </w:r>
      <w:r w:rsidR="004169AF" w:rsidRPr="00FC3356">
        <w:rPr>
          <w:b/>
          <w:bCs/>
          <w:color w:val="000000" w:themeColor="text1"/>
          <w:sz w:val="22"/>
          <w:szCs w:val="22"/>
          <w:lang w:val="en-US"/>
        </w:rPr>
        <w:t>preexisting medical condition</w:t>
      </w:r>
      <w:r w:rsidR="004169AF" w:rsidRPr="004169AF">
        <w:rPr>
          <w:color w:val="000000" w:themeColor="text1"/>
          <w:sz w:val="22"/>
          <w:szCs w:val="22"/>
          <w:lang w:val="en-US"/>
        </w:rPr>
        <w:t>, it is your</w:t>
      </w:r>
      <w:r w:rsidR="004169AF">
        <w:rPr>
          <w:color w:val="000000" w:themeColor="text1"/>
          <w:sz w:val="22"/>
          <w:szCs w:val="22"/>
          <w:lang w:val="en-US"/>
        </w:rPr>
        <w:t xml:space="preserve"> responsibility to ensure that you have sufficient coverage for that during your time abroad as well as having </w:t>
      </w:r>
      <w:r w:rsidR="006053CC" w:rsidRPr="00FC3356">
        <w:rPr>
          <w:b/>
          <w:bCs/>
          <w:color w:val="000000" w:themeColor="text1"/>
          <w:sz w:val="22"/>
          <w:szCs w:val="22"/>
          <w:lang w:val="en-US"/>
        </w:rPr>
        <w:t xml:space="preserve">home </w:t>
      </w:r>
      <w:r w:rsidR="004169AF" w:rsidRPr="00FC3356">
        <w:rPr>
          <w:b/>
          <w:bCs/>
          <w:color w:val="000000" w:themeColor="text1"/>
          <w:sz w:val="22"/>
          <w:szCs w:val="22"/>
          <w:lang w:val="en-US"/>
        </w:rPr>
        <w:t>insurance</w:t>
      </w:r>
      <w:r w:rsidR="004169AF">
        <w:rPr>
          <w:color w:val="000000" w:themeColor="text1"/>
          <w:sz w:val="22"/>
          <w:szCs w:val="22"/>
          <w:lang w:val="en-US"/>
        </w:rPr>
        <w:t xml:space="preserve"> covering your accommodation abroad. </w:t>
      </w:r>
      <w:r w:rsidR="00EE65BF" w:rsidRPr="0022214B">
        <w:rPr>
          <w:color w:val="000000" w:themeColor="text1"/>
          <w:sz w:val="22"/>
          <w:szCs w:val="22"/>
          <w:lang w:val="en-US"/>
        </w:rPr>
        <w:t xml:space="preserve">Please note that insurance for accompanying family members can be included in the insurance from </w:t>
      </w:r>
      <w:r w:rsidR="00EE65BF" w:rsidRPr="00047212">
        <w:rPr>
          <w:color w:val="000000" w:themeColor="text1"/>
          <w:sz w:val="22"/>
          <w:szCs w:val="22"/>
          <w:lang w:val="en-US"/>
        </w:rPr>
        <w:t>Kammarkollegiet</w:t>
      </w:r>
      <w:r w:rsidR="0008387C">
        <w:rPr>
          <w:color w:val="000000" w:themeColor="text1"/>
          <w:sz w:val="22"/>
          <w:szCs w:val="22"/>
          <w:lang w:val="en-US"/>
        </w:rPr>
        <w:t>.</w:t>
      </w:r>
    </w:p>
    <w:p w14:paraId="259255AE" w14:textId="77777777" w:rsidR="0022214B" w:rsidRPr="004169AF" w:rsidRDefault="0022214B" w:rsidP="0022214B">
      <w:pPr>
        <w:rPr>
          <w:color w:val="000000" w:themeColor="text1"/>
          <w:sz w:val="22"/>
          <w:szCs w:val="22"/>
          <w:lang w:val="en-US"/>
        </w:rPr>
      </w:pPr>
    </w:p>
    <w:p w14:paraId="656F03F9" w14:textId="0AAD99C0" w:rsidR="00FC6830" w:rsidRPr="002549BC" w:rsidRDefault="00450A36" w:rsidP="00450A36">
      <w:pPr>
        <w:pStyle w:val="Rubrik2"/>
        <w:spacing w:line="240" w:lineRule="auto"/>
        <w:rPr>
          <w:rFonts w:ascii="Times New Roman" w:hAnsi="Times New Roman" w:cs="Times New Roman"/>
          <w:b/>
          <w:bCs/>
          <w:color w:val="000000" w:themeColor="text1"/>
          <w:sz w:val="22"/>
          <w:szCs w:val="22"/>
          <w:lang w:val="en-US"/>
        </w:rPr>
      </w:pPr>
      <w:r w:rsidRPr="002549BC">
        <w:rPr>
          <w:rFonts w:ascii="Times New Roman" w:hAnsi="Times New Roman" w:cs="Times New Roman"/>
          <w:b/>
          <w:bCs/>
          <w:color w:val="000000" w:themeColor="text1"/>
          <w:sz w:val="22"/>
          <w:szCs w:val="22"/>
          <w:lang w:val="en-US"/>
        </w:rPr>
        <w:t>Other conditions</w:t>
      </w:r>
      <w:r w:rsidR="002549BC" w:rsidRPr="002549BC">
        <w:rPr>
          <w:rFonts w:ascii="Times New Roman" w:hAnsi="Times New Roman" w:cs="Times New Roman"/>
          <w:b/>
          <w:bCs/>
          <w:color w:val="000000" w:themeColor="text1"/>
          <w:sz w:val="22"/>
          <w:szCs w:val="22"/>
          <w:lang w:val="en-US"/>
        </w:rPr>
        <w:t xml:space="preserve"> for the mobility</w:t>
      </w:r>
    </w:p>
    <w:p w14:paraId="45E7E708" w14:textId="11585B14" w:rsidR="00FC6830" w:rsidRPr="001A09F9" w:rsidRDefault="00FC6830" w:rsidP="008B6D4E">
      <w:pPr>
        <w:pStyle w:val="Brdtext"/>
        <w:spacing w:line="240" w:lineRule="auto"/>
        <w:rPr>
          <w:color w:val="000000" w:themeColor="text1"/>
          <w:szCs w:val="22"/>
        </w:rPr>
      </w:pPr>
      <w:r w:rsidRPr="001A09F9">
        <w:rPr>
          <w:b/>
          <w:bCs/>
          <w:color w:val="000000" w:themeColor="text1"/>
          <w:szCs w:val="22"/>
        </w:rPr>
        <w:t>Return Obligation</w:t>
      </w:r>
      <w:r w:rsidR="00450A36" w:rsidRPr="001A09F9">
        <w:rPr>
          <w:b/>
          <w:bCs/>
          <w:color w:val="000000" w:themeColor="text1"/>
          <w:szCs w:val="22"/>
        </w:rPr>
        <w:t xml:space="preserve">: </w:t>
      </w:r>
      <w:r w:rsidRPr="001A09F9">
        <w:rPr>
          <w:color w:val="000000" w:themeColor="text1"/>
          <w:szCs w:val="22"/>
        </w:rPr>
        <w:t xml:space="preserve">Upon completing their stay abroad, researchers are required to return to their home country and resume their role at their home university. </w:t>
      </w:r>
    </w:p>
    <w:p w14:paraId="04A25C82" w14:textId="77777777" w:rsidR="00047212" w:rsidRPr="00047212" w:rsidRDefault="00047212" w:rsidP="002549BC">
      <w:pPr>
        <w:pStyle w:val="Brdtext"/>
        <w:spacing w:line="240" w:lineRule="auto"/>
        <w:rPr>
          <w:color w:val="000000" w:themeColor="text1"/>
          <w:szCs w:val="22"/>
        </w:rPr>
      </w:pPr>
    </w:p>
    <w:p w14:paraId="65D97502" w14:textId="76FCEAFD" w:rsidR="00FC6830" w:rsidRPr="002A4621" w:rsidRDefault="00FC6830" w:rsidP="008B6D4E">
      <w:pPr>
        <w:pStyle w:val="Brdtext"/>
        <w:spacing w:line="240" w:lineRule="auto"/>
        <w:rPr>
          <w:color w:val="000000" w:themeColor="text1"/>
          <w:szCs w:val="22"/>
        </w:rPr>
      </w:pPr>
      <w:r w:rsidRPr="002A4621">
        <w:rPr>
          <w:b/>
          <w:bCs/>
          <w:color w:val="000000" w:themeColor="text1"/>
          <w:szCs w:val="22"/>
        </w:rPr>
        <w:t>Research Placement and Collaboration</w:t>
      </w:r>
      <w:r w:rsidR="00450A36">
        <w:rPr>
          <w:b/>
          <w:bCs/>
          <w:color w:val="000000" w:themeColor="text1"/>
          <w:szCs w:val="22"/>
        </w:rPr>
        <w:t xml:space="preserve">: </w:t>
      </w:r>
      <w:r w:rsidR="00047212">
        <w:rPr>
          <w:color w:val="000000" w:themeColor="text1"/>
          <w:szCs w:val="22"/>
        </w:rPr>
        <w:t>R</w:t>
      </w:r>
      <w:r w:rsidR="00047212" w:rsidRPr="00047212">
        <w:rPr>
          <w:color w:val="000000" w:themeColor="text1"/>
          <w:szCs w:val="22"/>
        </w:rPr>
        <w:t>esearchers must have a designated research host at the host university.</w:t>
      </w:r>
      <w:r w:rsidR="00047212">
        <w:rPr>
          <w:color w:val="000000" w:themeColor="text1"/>
          <w:szCs w:val="22"/>
        </w:rPr>
        <w:t xml:space="preserve"> </w:t>
      </w:r>
      <w:r w:rsidRPr="008825C7">
        <w:rPr>
          <w:b/>
          <w:bCs/>
          <w:color w:val="000000" w:themeColor="text1"/>
          <w:szCs w:val="22"/>
        </w:rPr>
        <w:t xml:space="preserve">Each applicant is responsible for contacting relevant research groups at the host university </w:t>
      </w:r>
      <w:r w:rsidRPr="002A4621">
        <w:rPr>
          <w:color w:val="000000" w:themeColor="text1"/>
          <w:szCs w:val="22"/>
        </w:rPr>
        <w:t xml:space="preserve">to discuss potential opportunities for the mobility period. The </w:t>
      </w:r>
      <w:hyperlink r:id="rId15" w:history="1">
        <w:r w:rsidRPr="002A4621">
          <w:rPr>
            <w:rStyle w:val="Hyperlnk"/>
            <w:color w:val="000000" w:themeColor="text1"/>
            <w:szCs w:val="22"/>
          </w:rPr>
          <w:t>MIRAI contact persons</w:t>
        </w:r>
      </w:hyperlink>
      <w:r w:rsidRPr="002A4621">
        <w:rPr>
          <w:color w:val="000000" w:themeColor="text1"/>
          <w:szCs w:val="22"/>
        </w:rPr>
        <w:t xml:space="preserve"> can be used to establish contacts with research groups.</w:t>
      </w:r>
    </w:p>
    <w:p w14:paraId="5EE8D467" w14:textId="77777777" w:rsidR="000A029E" w:rsidRDefault="000A029E" w:rsidP="008B6D4E">
      <w:pPr>
        <w:pStyle w:val="Brdtext"/>
        <w:spacing w:line="240" w:lineRule="auto"/>
        <w:rPr>
          <w:b/>
          <w:bCs/>
          <w:color w:val="000000" w:themeColor="text1"/>
          <w:szCs w:val="22"/>
        </w:rPr>
      </w:pPr>
    </w:p>
    <w:p w14:paraId="750A628F" w14:textId="4EA1A97B" w:rsidR="00FC6830" w:rsidRDefault="00FC6830" w:rsidP="008B6D4E">
      <w:pPr>
        <w:pStyle w:val="Brdtext"/>
        <w:spacing w:line="240" w:lineRule="auto"/>
        <w:rPr>
          <w:color w:val="000000" w:themeColor="text1"/>
          <w:szCs w:val="22"/>
        </w:rPr>
      </w:pPr>
      <w:r w:rsidRPr="00CE6424">
        <w:rPr>
          <w:b/>
          <w:bCs/>
          <w:color w:val="000000" w:themeColor="text1"/>
          <w:szCs w:val="22"/>
        </w:rPr>
        <w:t>Departmental Approval</w:t>
      </w:r>
      <w:r w:rsidR="00450A36">
        <w:rPr>
          <w:b/>
          <w:bCs/>
          <w:color w:val="000000" w:themeColor="text1"/>
          <w:szCs w:val="22"/>
        </w:rPr>
        <w:t xml:space="preserve">: </w:t>
      </w:r>
      <w:r w:rsidR="000E409A">
        <w:rPr>
          <w:color w:val="000000" w:themeColor="text1"/>
          <w:szCs w:val="22"/>
        </w:rPr>
        <w:t>Linnaeus applicants</w:t>
      </w:r>
      <w:r w:rsidRPr="00CE6424">
        <w:rPr>
          <w:color w:val="000000" w:themeColor="text1"/>
          <w:szCs w:val="22"/>
        </w:rPr>
        <w:t xml:space="preserve"> must include approval from the applicant's home university </w:t>
      </w:r>
      <w:r w:rsidRPr="00CE6424">
        <w:rPr>
          <w:b/>
          <w:bCs/>
          <w:color w:val="000000" w:themeColor="text1"/>
          <w:szCs w:val="22"/>
        </w:rPr>
        <w:t xml:space="preserve">Head of Department </w:t>
      </w:r>
      <w:r w:rsidR="00201CFE" w:rsidRPr="00164DE7">
        <w:rPr>
          <w:b/>
          <w:bCs/>
          <w:color w:val="000000" w:themeColor="text1"/>
          <w:szCs w:val="22"/>
        </w:rPr>
        <w:t>to confirm approval</w:t>
      </w:r>
      <w:r w:rsidR="00201CFE" w:rsidRPr="00201CFE">
        <w:rPr>
          <w:color w:val="000000" w:themeColor="text1"/>
          <w:szCs w:val="22"/>
        </w:rPr>
        <w:t xml:space="preserve"> of the mobility and justify why the project is of strategic value to both the applicant and the department, as well as acknowledge any additional costs beyond the granted amount and confirm that the URA contract will be administered locally</w:t>
      </w:r>
      <w:r w:rsidR="000E409A">
        <w:rPr>
          <w:color w:val="000000" w:themeColor="text1"/>
          <w:szCs w:val="22"/>
        </w:rPr>
        <w:t>.</w:t>
      </w:r>
      <w:r w:rsidR="00201CFE" w:rsidRPr="00201CFE">
        <w:rPr>
          <w:color w:val="000000" w:themeColor="text1"/>
          <w:szCs w:val="22"/>
        </w:rPr>
        <w:t xml:space="preserve"> </w:t>
      </w:r>
      <w:r w:rsidR="000E409A">
        <w:rPr>
          <w:color w:val="000000" w:themeColor="text1"/>
          <w:szCs w:val="22"/>
        </w:rPr>
        <w:t xml:space="preserve">Sophia applicants need approval from Sophia University. </w:t>
      </w:r>
    </w:p>
    <w:p w14:paraId="536466DC" w14:textId="77777777" w:rsidR="0022214B" w:rsidRPr="002A4621" w:rsidRDefault="0022214B" w:rsidP="008B6D4E">
      <w:pPr>
        <w:pStyle w:val="Brdtext"/>
        <w:spacing w:line="240" w:lineRule="auto"/>
        <w:rPr>
          <w:color w:val="000000" w:themeColor="text1"/>
          <w:szCs w:val="22"/>
        </w:rPr>
      </w:pPr>
    </w:p>
    <w:p w14:paraId="623B73F5" w14:textId="34A77FAC" w:rsidR="0022214B" w:rsidRDefault="00FC6830" w:rsidP="0022214B">
      <w:pPr>
        <w:pStyle w:val="Brdtext"/>
        <w:spacing w:line="240" w:lineRule="auto"/>
        <w:rPr>
          <w:color w:val="000000" w:themeColor="text1"/>
          <w:szCs w:val="22"/>
        </w:rPr>
      </w:pPr>
      <w:r w:rsidRPr="002A4621">
        <w:rPr>
          <w:b/>
          <w:bCs/>
          <w:color w:val="000000" w:themeColor="text1"/>
          <w:szCs w:val="22"/>
        </w:rPr>
        <w:t>Post-Mobility Reporting</w:t>
      </w:r>
      <w:r w:rsidR="00450A36">
        <w:rPr>
          <w:b/>
          <w:bCs/>
          <w:color w:val="000000" w:themeColor="text1"/>
          <w:szCs w:val="22"/>
        </w:rPr>
        <w:t xml:space="preserve">: </w:t>
      </w:r>
      <w:r w:rsidRPr="002A4621">
        <w:rPr>
          <w:color w:val="000000" w:themeColor="text1"/>
          <w:szCs w:val="22"/>
        </w:rPr>
        <w:t>Upon completing the research period abroad, researchers must submit a report to Linnaeus University detailing their contacts, research activities, and other academic outcomes achieved during the mobility period no later than January 31, 2027.</w:t>
      </w:r>
    </w:p>
    <w:p w14:paraId="03275753" w14:textId="77777777" w:rsidR="002549BC" w:rsidRDefault="002549BC" w:rsidP="0022214B">
      <w:pPr>
        <w:pStyle w:val="Brdtext"/>
        <w:spacing w:line="240" w:lineRule="auto"/>
        <w:rPr>
          <w:color w:val="000000" w:themeColor="text1"/>
          <w:szCs w:val="22"/>
        </w:rPr>
      </w:pPr>
    </w:p>
    <w:p w14:paraId="1BE4C02F" w14:textId="4B2CD735" w:rsidR="002549BC" w:rsidRPr="007020D2" w:rsidRDefault="002549BC" w:rsidP="007020D2">
      <w:pPr>
        <w:pStyle w:val="Default"/>
        <w:rPr>
          <w:rFonts w:ascii="Times New Roman" w:hAnsi="Times New Roman" w:cs="Times New Roman"/>
          <w:color w:val="000000" w:themeColor="text1"/>
          <w:sz w:val="22"/>
          <w:szCs w:val="22"/>
          <w:lang w:val="en-US"/>
        </w:rPr>
      </w:pPr>
      <w:r w:rsidRPr="00BE2CE2">
        <w:rPr>
          <w:rFonts w:ascii="Times New Roman" w:hAnsi="Times New Roman" w:cs="Times New Roman"/>
          <w:b/>
          <w:bCs/>
          <w:sz w:val="22"/>
          <w:szCs w:val="22"/>
          <w:lang w:val="en-US"/>
        </w:rPr>
        <w:t>Other funding:</w:t>
      </w:r>
      <w:r w:rsidRPr="00BE2CE2">
        <w:rPr>
          <w:rFonts w:ascii="Times New Roman" w:hAnsi="Times New Roman" w:cs="Times New Roman"/>
          <w:sz w:val="22"/>
          <w:szCs w:val="22"/>
          <w:lang w:val="en-US"/>
        </w:rPr>
        <w:t xml:space="preserve"> </w:t>
      </w:r>
      <w:r w:rsidR="00341B14" w:rsidRPr="00341B14">
        <w:rPr>
          <w:rFonts w:ascii="Times New Roman" w:hAnsi="Times New Roman" w:cs="Times New Roman"/>
          <w:sz w:val="22"/>
          <w:szCs w:val="22"/>
          <w:lang w:val="en-US"/>
        </w:rPr>
        <w:t xml:space="preserve">The candidate should </w:t>
      </w:r>
      <w:r w:rsidR="00341B14" w:rsidRPr="00900B9E">
        <w:rPr>
          <w:rFonts w:ascii="Times New Roman" w:hAnsi="Times New Roman" w:cs="Times New Roman"/>
          <w:i/>
          <w:iCs/>
          <w:sz w:val="22"/>
          <w:szCs w:val="22"/>
          <w:lang w:val="en-US"/>
        </w:rPr>
        <w:t>not</w:t>
      </w:r>
      <w:r w:rsidR="00341B14" w:rsidRPr="00341B14">
        <w:rPr>
          <w:rFonts w:ascii="Times New Roman" w:hAnsi="Times New Roman" w:cs="Times New Roman"/>
          <w:sz w:val="22"/>
          <w:szCs w:val="22"/>
          <w:lang w:val="en-US"/>
        </w:rPr>
        <w:t xml:space="preserve"> receive any other form of external financing to fund the mobility.</w:t>
      </w:r>
    </w:p>
    <w:p w14:paraId="0D695F4B" w14:textId="77777777" w:rsidR="002549BC" w:rsidRDefault="002549BC" w:rsidP="0022214B">
      <w:pPr>
        <w:pStyle w:val="Brdtext"/>
        <w:spacing w:line="240" w:lineRule="auto"/>
        <w:rPr>
          <w:color w:val="000000" w:themeColor="text1"/>
          <w:szCs w:val="22"/>
        </w:rPr>
      </w:pPr>
    </w:p>
    <w:p w14:paraId="1A658496" w14:textId="77777777" w:rsidR="002549BC" w:rsidRPr="002A4621" w:rsidRDefault="002549BC" w:rsidP="002549BC">
      <w:pPr>
        <w:pStyle w:val="Brdtext"/>
        <w:spacing w:line="240" w:lineRule="auto"/>
        <w:rPr>
          <w:color w:val="000000" w:themeColor="text1"/>
          <w:szCs w:val="22"/>
        </w:rPr>
      </w:pPr>
      <w:r w:rsidRPr="001A09F9">
        <w:rPr>
          <w:b/>
          <w:bCs/>
          <w:color w:val="000000" w:themeColor="text1"/>
          <w:szCs w:val="22"/>
        </w:rPr>
        <w:t>Host</w:t>
      </w:r>
      <w:r w:rsidRPr="002A4621">
        <w:rPr>
          <w:b/>
          <w:bCs/>
          <w:color w:val="000000" w:themeColor="text1"/>
          <w:szCs w:val="22"/>
        </w:rPr>
        <w:t xml:space="preserve"> University Support</w:t>
      </w:r>
      <w:r>
        <w:rPr>
          <w:b/>
          <w:bCs/>
          <w:color w:val="000000" w:themeColor="text1"/>
          <w:szCs w:val="22"/>
        </w:rPr>
        <w:t xml:space="preserve">: </w:t>
      </w:r>
      <w:r w:rsidRPr="002A4621">
        <w:rPr>
          <w:color w:val="000000" w:themeColor="text1"/>
          <w:szCs w:val="22"/>
        </w:rPr>
        <w:t>The host university is expected to:</w:t>
      </w:r>
    </w:p>
    <w:p w14:paraId="439C2318" w14:textId="03261B37" w:rsidR="002549BC" w:rsidRPr="002A4621" w:rsidRDefault="002549BC" w:rsidP="002549BC">
      <w:pPr>
        <w:pStyle w:val="Brdtext"/>
        <w:numPr>
          <w:ilvl w:val="1"/>
          <w:numId w:val="8"/>
        </w:numPr>
        <w:spacing w:line="240" w:lineRule="auto"/>
        <w:rPr>
          <w:color w:val="000000" w:themeColor="text1"/>
          <w:szCs w:val="22"/>
        </w:rPr>
      </w:pPr>
      <w:r w:rsidRPr="002A4621">
        <w:rPr>
          <w:color w:val="000000" w:themeColor="text1"/>
          <w:szCs w:val="22"/>
        </w:rPr>
        <w:t>Waive any administrative fees associated with the visit</w:t>
      </w:r>
      <w:r w:rsidR="00450FD1">
        <w:rPr>
          <w:color w:val="000000" w:themeColor="text1"/>
          <w:szCs w:val="22"/>
        </w:rPr>
        <w:t>.</w:t>
      </w:r>
    </w:p>
    <w:p w14:paraId="57FB16D3" w14:textId="67EED150" w:rsidR="002549BC" w:rsidRPr="002A4621" w:rsidRDefault="002549BC" w:rsidP="002549BC">
      <w:pPr>
        <w:pStyle w:val="Brdtext"/>
        <w:numPr>
          <w:ilvl w:val="1"/>
          <w:numId w:val="8"/>
        </w:numPr>
        <w:spacing w:line="240" w:lineRule="auto"/>
        <w:rPr>
          <w:color w:val="000000" w:themeColor="text1"/>
          <w:szCs w:val="22"/>
        </w:rPr>
      </w:pPr>
      <w:r w:rsidRPr="002A4621">
        <w:rPr>
          <w:color w:val="000000" w:themeColor="text1"/>
          <w:szCs w:val="22"/>
        </w:rPr>
        <w:t>Assist, where possible, with securing housing</w:t>
      </w:r>
      <w:r w:rsidR="00450FD1">
        <w:rPr>
          <w:color w:val="000000" w:themeColor="text1"/>
          <w:szCs w:val="22"/>
        </w:rPr>
        <w:t>.</w:t>
      </w:r>
    </w:p>
    <w:p w14:paraId="56A784F4" w14:textId="4FE0DD14" w:rsidR="002549BC" w:rsidRDefault="002549BC" w:rsidP="002549BC">
      <w:pPr>
        <w:pStyle w:val="Brdtext"/>
        <w:numPr>
          <w:ilvl w:val="1"/>
          <w:numId w:val="8"/>
        </w:numPr>
        <w:spacing w:line="240" w:lineRule="auto"/>
        <w:rPr>
          <w:color w:val="000000" w:themeColor="text1"/>
          <w:szCs w:val="22"/>
        </w:rPr>
      </w:pPr>
      <w:r w:rsidRPr="002A4621">
        <w:rPr>
          <w:color w:val="000000" w:themeColor="text1"/>
          <w:szCs w:val="22"/>
        </w:rPr>
        <w:t>Provide a workspace, access cards/keys, and any necessary resources to facilitate the research</w:t>
      </w:r>
      <w:r w:rsidR="00450FD1">
        <w:rPr>
          <w:color w:val="000000" w:themeColor="text1"/>
          <w:szCs w:val="22"/>
        </w:rPr>
        <w:t>.</w:t>
      </w:r>
    </w:p>
    <w:p w14:paraId="1E902198" w14:textId="77777777" w:rsidR="002549BC" w:rsidRDefault="002549BC" w:rsidP="0022214B">
      <w:pPr>
        <w:pStyle w:val="Brdtext"/>
        <w:spacing w:line="240" w:lineRule="auto"/>
        <w:rPr>
          <w:color w:val="000000" w:themeColor="text1"/>
          <w:szCs w:val="22"/>
        </w:rPr>
      </w:pPr>
    </w:p>
    <w:p w14:paraId="1DD3B663" w14:textId="7CD0FF33" w:rsidR="00FC6830" w:rsidRDefault="00FC6830" w:rsidP="008B6D4E">
      <w:pPr>
        <w:pStyle w:val="Brdtext"/>
        <w:spacing w:line="240" w:lineRule="auto"/>
        <w:rPr>
          <w:color w:val="000000" w:themeColor="text1"/>
          <w:szCs w:val="22"/>
        </w:rPr>
      </w:pPr>
      <w:r w:rsidRPr="002A4621">
        <w:rPr>
          <w:b/>
          <w:bCs/>
          <w:color w:val="000000" w:themeColor="text1"/>
          <w:szCs w:val="22"/>
          <w:lang w:val="en-US"/>
        </w:rPr>
        <w:t>Additional considerations</w:t>
      </w:r>
      <w:r w:rsidR="00450A36">
        <w:rPr>
          <w:b/>
          <w:bCs/>
          <w:color w:val="000000" w:themeColor="text1"/>
          <w:szCs w:val="22"/>
          <w:lang w:val="en-US"/>
        </w:rPr>
        <w:t xml:space="preserve">: </w:t>
      </w:r>
      <w:r w:rsidRPr="002A4621">
        <w:rPr>
          <w:color w:val="000000" w:themeColor="text1"/>
          <w:szCs w:val="22"/>
        </w:rPr>
        <w:t xml:space="preserve">Applicants are strongly advised to review the visa requirements for Japan and Sweden. As visa processing can take time, it is important to include this in the planning of the mobility period. Additional information is available on the </w:t>
      </w:r>
      <w:hyperlink r:id="rId16" w:history="1">
        <w:r w:rsidRPr="002A4621">
          <w:rPr>
            <w:rStyle w:val="Hyperlnk"/>
            <w:color w:val="000000" w:themeColor="text1"/>
            <w:szCs w:val="22"/>
          </w:rPr>
          <w:t>MIRAI website</w:t>
        </w:r>
      </w:hyperlink>
      <w:r w:rsidR="00D64A95">
        <w:rPr>
          <w:color w:val="000000" w:themeColor="text1"/>
          <w:szCs w:val="22"/>
        </w:rPr>
        <w:t xml:space="preserve"> and the respective countries embassies. </w:t>
      </w:r>
    </w:p>
    <w:p w14:paraId="69731BC4" w14:textId="77777777" w:rsidR="0022214B" w:rsidRPr="002A4621" w:rsidRDefault="0022214B" w:rsidP="008B6D4E">
      <w:pPr>
        <w:pStyle w:val="Brdtext"/>
        <w:spacing w:line="240" w:lineRule="auto"/>
        <w:rPr>
          <w:color w:val="000000" w:themeColor="text1"/>
          <w:szCs w:val="22"/>
        </w:rPr>
      </w:pPr>
    </w:p>
    <w:p w14:paraId="5E08A351" w14:textId="77777777" w:rsidR="00FC6830" w:rsidRPr="002A4621" w:rsidRDefault="00FC6830" w:rsidP="008B6D4E">
      <w:pPr>
        <w:pStyle w:val="Rubrik2"/>
        <w:spacing w:line="240" w:lineRule="auto"/>
        <w:rPr>
          <w:rFonts w:ascii="Times New Roman" w:hAnsi="Times New Roman" w:cs="Times New Roman"/>
          <w:color w:val="auto"/>
          <w:sz w:val="26"/>
          <w:szCs w:val="26"/>
          <w:lang w:val="en-US"/>
        </w:rPr>
      </w:pPr>
      <w:r w:rsidRPr="002A4621">
        <w:rPr>
          <w:rFonts w:ascii="Times New Roman" w:hAnsi="Times New Roman" w:cs="Times New Roman"/>
          <w:color w:val="auto"/>
          <w:sz w:val="26"/>
          <w:szCs w:val="26"/>
          <w:lang w:val="en-US"/>
        </w:rPr>
        <w:t>Selection criteria</w:t>
      </w:r>
    </w:p>
    <w:p w14:paraId="0C6E52D7" w14:textId="77777777" w:rsidR="00FC6830" w:rsidRPr="002A4621" w:rsidRDefault="00FC6830" w:rsidP="008B6D4E">
      <w:pPr>
        <w:pStyle w:val="Brdtext"/>
        <w:spacing w:line="240" w:lineRule="auto"/>
        <w:rPr>
          <w:color w:val="000000" w:themeColor="text1"/>
          <w:szCs w:val="22"/>
        </w:rPr>
      </w:pPr>
      <w:r w:rsidRPr="002A4621">
        <w:rPr>
          <w:color w:val="000000" w:themeColor="text1"/>
          <w:szCs w:val="22"/>
        </w:rPr>
        <w:t xml:space="preserve">The selection will be based on the following criteria: </w:t>
      </w:r>
    </w:p>
    <w:p w14:paraId="7F6CB19B" w14:textId="77777777" w:rsidR="00FC6830" w:rsidRPr="002A4621" w:rsidRDefault="00FC6830" w:rsidP="008B6D4E">
      <w:pPr>
        <w:pStyle w:val="Brdtext"/>
        <w:numPr>
          <w:ilvl w:val="0"/>
          <w:numId w:val="6"/>
        </w:numPr>
        <w:spacing w:line="240" w:lineRule="auto"/>
        <w:rPr>
          <w:color w:val="000000" w:themeColor="text1"/>
          <w:szCs w:val="22"/>
        </w:rPr>
      </w:pPr>
      <w:r w:rsidRPr="002A4621">
        <w:rPr>
          <w:color w:val="000000" w:themeColor="text1"/>
          <w:szCs w:val="22"/>
        </w:rPr>
        <w:t>Motivation and commitment to participate in the programme.</w:t>
      </w:r>
    </w:p>
    <w:p w14:paraId="07E68DA9" w14:textId="77777777" w:rsidR="00FC6830" w:rsidRPr="002A4621" w:rsidRDefault="00FC6830" w:rsidP="008B6D4E">
      <w:pPr>
        <w:pStyle w:val="Brdtext"/>
        <w:numPr>
          <w:ilvl w:val="0"/>
          <w:numId w:val="6"/>
        </w:numPr>
        <w:spacing w:line="240" w:lineRule="auto"/>
        <w:rPr>
          <w:color w:val="000000" w:themeColor="text1"/>
          <w:szCs w:val="22"/>
        </w:rPr>
      </w:pPr>
      <w:r w:rsidRPr="002A4621">
        <w:rPr>
          <w:color w:val="000000" w:themeColor="text1"/>
          <w:szCs w:val="22"/>
        </w:rPr>
        <w:t>The potential of the mobility to develop the applicant’s skills and research interests, and/or stimulate new research ideas.</w:t>
      </w:r>
    </w:p>
    <w:p w14:paraId="105CB554" w14:textId="23B19691" w:rsidR="00450A36" w:rsidRPr="00450A36" w:rsidRDefault="00FC6830" w:rsidP="00450A36">
      <w:pPr>
        <w:pStyle w:val="Brdtext"/>
        <w:numPr>
          <w:ilvl w:val="0"/>
          <w:numId w:val="6"/>
        </w:numPr>
        <w:spacing w:line="240" w:lineRule="auto"/>
        <w:rPr>
          <w:color w:val="000000" w:themeColor="text1"/>
          <w:szCs w:val="22"/>
        </w:rPr>
      </w:pPr>
      <w:r w:rsidRPr="002A4621">
        <w:rPr>
          <w:color w:val="000000" w:themeColor="text1"/>
          <w:szCs w:val="22"/>
        </w:rPr>
        <w:t>Balanced distribution between disciplines/faculties at Linnaeus University.</w:t>
      </w:r>
    </w:p>
    <w:p w14:paraId="382E74A3" w14:textId="77777777" w:rsidR="00FC6830" w:rsidRPr="002A4621" w:rsidRDefault="00FC6830" w:rsidP="008B6D4E">
      <w:pPr>
        <w:pStyle w:val="Brdtext"/>
        <w:spacing w:line="240" w:lineRule="auto"/>
        <w:rPr>
          <w:color w:val="000000" w:themeColor="text1"/>
          <w:szCs w:val="22"/>
        </w:rPr>
      </w:pPr>
    </w:p>
    <w:p w14:paraId="693D53AD" w14:textId="77777777" w:rsidR="00FC6830" w:rsidRPr="002A4621" w:rsidRDefault="00FC6830" w:rsidP="008B6D4E">
      <w:pPr>
        <w:pStyle w:val="Rubrik2"/>
        <w:spacing w:line="240" w:lineRule="auto"/>
        <w:rPr>
          <w:rFonts w:ascii="Times New Roman" w:hAnsi="Times New Roman" w:cs="Times New Roman"/>
          <w:color w:val="000000" w:themeColor="text1"/>
          <w:sz w:val="26"/>
          <w:szCs w:val="26"/>
          <w:lang w:val="en-GB"/>
        </w:rPr>
      </w:pPr>
      <w:r w:rsidRPr="00195E53">
        <w:rPr>
          <w:rFonts w:ascii="Times New Roman" w:hAnsi="Times New Roman" w:cs="Times New Roman"/>
          <w:color w:val="000000" w:themeColor="text1"/>
          <w:sz w:val="26"/>
          <w:szCs w:val="26"/>
          <w:lang w:val="en-GB"/>
        </w:rPr>
        <w:lastRenderedPageBreak/>
        <w:t>Submission</w:t>
      </w:r>
      <w:r w:rsidRPr="002A4621">
        <w:rPr>
          <w:rFonts w:ascii="Times New Roman" w:hAnsi="Times New Roman" w:cs="Times New Roman"/>
          <w:color w:val="000000" w:themeColor="text1"/>
          <w:sz w:val="26"/>
          <w:szCs w:val="26"/>
          <w:lang w:val="en-GB"/>
        </w:rPr>
        <w:t xml:space="preserve"> procedure and deadline</w:t>
      </w:r>
    </w:p>
    <w:p w14:paraId="5A058292" w14:textId="77777777" w:rsidR="00CE6424" w:rsidRDefault="00FC6830" w:rsidP="00CE6424">
      <w:pPr>
        <w:pStyle w:val="Brdtext"/>
        <w:spacing w:line="240" w:lineRule="auto"/>
        <w:rPr>
          <w:color w:val="000000" w:themeColor="text1"/>
          <w:szCs w:val="22"/>
        </w:rPr>
      </w:pPr>
      <w:r w:rsidRPr="002A4621">
        <w:rPr>
          <w:color w:val="000000" w:themeColor="text1"/>
          <w:szCs w:val="22"/>
        </w:rPr>
        <w:t>Applicants must complete and submit an application form along with the following supporting documents:</w:t>
      </w:r>
    </w:p>
    <w:p w14:paraId="59264A4B" w14:textId="77777777" w:rsidR="00CE6424" w:rsidRDefault="00CE6424" w:rsidP="00CE6424">
      <w:pPr>
        <w:pStyle w:val="Brdtext"/>
        <w:spacing w:line="240" w:lineRule="auto"/>
        <w:rPr>
          <w:color w:val="000000" w:themeColor="text1"/>
          <w:szCs w:val="22"/>
        </w:rPr>
      </w:pPr>
    </w:p>
    <w:p w14:paraId="6647BBDF" w14:textId="4C0168C7" w:rsidR="00FC6830" w:rsidRPr="00E20791" w:rsidRDefault="00FC6830" w:rsidP="00B31274">
      <w:pPr>
        <w:pStyle w:val="Brdtext"/>
        <w:numPr>
          <w:ilvl w:val="0"/>
          <w:numId w:val="11"/>
        </w:numPr>
        <w:spacing w:line="240" w:lineRule="auto"/>
        <w:rPr>
          <w:color w:val="000000" w:themeColor="text1"/>
          <w:szCs w:val="22"/>
        </w:rPr>
      </w:pPr>
      <w:r w:rsidRPr="00E20791">
        <w:rPr>
          <w:b/>
          <w:bCs/>
          <w:color w:val="000000" w:themeColor="text1"/>
          <w:szCs w:val="22"/>
        </w:rPr>
        <w:t>Completed application form</w:t>
      </w:r>
    </w:p>
    <w:p w14:paraId="2215FCA1" w14:textId="5BF598E7" w:rsidR="00FC6830" w:rsidRPr="002A4621" w:rsidRDefault="00FC6830" w:rsidP="00CE6424">
      <w:pPr>
        <w:pStyle w:val="Brdtext"/>
        <w:numPr>
          <w:ilvl w:val="0"/>
          <w:numId w:val="11"/>
        </w:numPr>
        <w:spacing w:line="240" w:lineRule="auto"/>
        <w:rPr>
          <w:color w:val="000000" w:themeColor="text1"/>
          <w:szCs w:val="22"/>
        </w:rPr>
      </w:pPr>
      <w:r w:rsidRPr="002A4621">
        <w:rPr>
          <w:b/>
          <w:bCs/>
          <w:color w:val="000000" w:themeColor="text1"/>
          <w:szCs w:val="22"/>
        </w:rPr>
        <w:t>Invitation Letter</w:t>
      </w:r>
      <w:r w:rsidR="00CE6424">
        <w:rPr>
          <w:color w:val="000000" w:themeColor="text1"/>
          <w:szCs w:val="22"/>
        </w:rPr>
        <w:t xml:space="preserve"> </w:t>
      </w:r>
      <w:r w:rsidRPr="002A4621">
        <w:rPr>
          <w:color w:val="000000" w:themeColor="text1"/>
          <w:szCs w:val="22"/>
        </w:rPr>
        <w:t>A formal invitation from the Japanese institution or research group confirming their willingness to host the applicant.</w:t>
      </w:r>
    </w:p>
    <w:p w14:paraId="6893F1DF" w14:textId="7F16A3D8" w:rsidR="00FC6830" w:rsidRPr="002A4621" w:rsidRDefault="00FC6830" w:rsidP="00CE6424">
      <w:pPr>
        <w:pStyle w:val="Brdtext"/>
        <w:numPr>
          <w:ilvl w:val="0"/>
          <w:numId w:val="11"/>
        </w:numPr>
        <w:spacing w:line="240" w:lineRule="auto"/>
        <w:rPr>
          <w:color w:val="000000" w:themeColor="text1"/>
          <w:szCs w:val="22"/>
        </w:rPr>
      </w:pPr>
      <w:r w:rsidRPr="002A4621">
        <w:rPr>
          <w:b/>
          <w:bCs/>
          <w:color w:val="000000" w:themeColor="text1"/>
          <w:szCs w:val="22"/>
        </w:rPr>
        <w:t>Curriculum Vitae (CV</w:t>
      </w:r>
      <w:r w:rsidR="00F02B88">
        <w:rPr>
          <w:b/>
          <w:bCs/>
          <w:color w:val="000000" w:themeColor="text1"/>
          <w:szCs w:val="22"/>
        </w:rPr>
        <w:t>) and publication list</w:t>
      </w:r>
      <w:r w:rsidRPr="002A4621">
        <w:rPr>
          <w:b/>
          <w:bCs/>
          <w:color w:val="000000" w:themeColor="text1"/>
          <w:szCs w:val="22"/>
        </w:rPr>
        <w:t xml:space="preserve"> </w:t>
      </w:r>
      <w:r w:rsidRPr="002A4621">
        <w:rPr>
          <w:color w:val="000000" w:themeColor="text1"/>
          <w:szCs w:val="22"/>
        </w:rPr>
        <w:t>A concise overview of the candidate’s qualifications and experience.</w:t>
      </w:r>
    </w:p>
    <w:p w14:paraId="6CFBF89E" w14:textId="3D6FECA3" w:rsidR="00FC6830" w:rsidRDefault="00FC6830" w:rsidP="00A37DA5">
      <w:pPr>
        <w:pStyle w:val="Brdtext"/>
        <w:numPr>
          <w:ilvl w:val="0"/>
          <w:numId w:val="11"/>
        </w:numPr>
        <w:spacing w:line="240" w:lineRule="auto"/>
        <w:rPr>
          <w:color w:val="000000" w:themeColor="text1"/>
          <w:szCs w:val="22"/>
        </w:rPr>
      </w:pPr>
      <w:r w:rsidRPr="001A09F9">
        <w:rPr>
          <w:b/>
          <w:bCs/>
          <w:color w:val="000000" w:themeColor="text1"/>
          <w:szCs w:val="22"/>
        </w:rPr>
        <w:t>Motivation Letter</w:t>
      </w:r>
      <w:r w:rsidR="0056063E" w:rsidRPr="001A09F9">
        <w:rPr>
          <w:b/>
          <w:bCs/>
          <w:color w:val="000000" w:themeColor="text1"/>
          <w:szCs w:val="22"/>
        </w:rPr>
        <w:t xml:space="preserve"> </w:t>
      </w:r>
      <w:r w:rsidRPr="001A09F9">
        <w:rPr>
          <w:color w:val="000000" w:themeColor="text1"/>
          <w:szCs w:val="22"/>
        </w:rPr>
        <w:t>A personal statement explaining the applicant’s reasons for pursuing the mobility opportunity.</w:t>
      </w:r>
    </w:p>
    <w:p w14:paraId="6F12865B" w14:textId="77777777" w:rsidR="001A09F9" w:rsidRPr="001A09F9" w:rsidRDefault="001A09F9" w:rsidP="001A09F9">
      <w:pPr>
        <w:pStyle w:val="Brdtext"/>
        <w:spacing w:line="240" w:lineRule="auto"/>
        <w:ind w:left="360"/>
        <w:rPr>
          <w:color w:val="000000" w:themeColor="text1"/>
          <w:szCs w:val="22"/>
        </w:rPr>
      </w:pPr>
    </w:p>
    <w:p w14:paraId="197DB2DF" w14:textId="77777777" w:rsidR="00FC6830" w:rsidRPr="002A4621" w:rsidRDefault="00FC6830" w:rsidP="008B6D4E">
      <w:pPr>
        <w:pStyle w:val="Rubrik3"/>
        <w:spacing w:line="240" w:lineRule="auto"/>
        <w:rPr>
          <w:rFonts w:ascii="Times New Roman" w:hAnsi="Times New Roman" w:cs="Times New Roman"/>
          <w:color w:val="000000" w:themeColor="text1"/>
          <w:sz w:val="26"/>
          <w:szCs w:val="26"/>
          <w:lang w:val="en-US"/>
        </w:rPr>
      </w:pPr>
      <w:r w:rsidRPr="002A4621">
        <w:rPr>
          <w:rFonts w:ascii="Times New Roman" w:hAnsi="Times New Roman" w:cs="Times New Roman"/>
          <w:color w:val="000000" w:themeColor="text1"/>
          <w:sz w:val="26"/>
          <w:szCs w:val="26"/>
          <w:lang w:val="en-US"/>
        </w:rPr>
        <w:t>Application procedure</w:t>
      </w:r>
    </w:p>
    <w:p w14:paraId="0643D707" w14:textId="72BF3B60" w:rsidR="00FC6830" w:rsidRPr="002A4621" w:rsidRDefault="00FC6830" w:rsidP="008B6D4E">
      <w:pPr>
        <w:pStyle w:val="Brdtext"/>
        <w:spacing w:line="240" w:lineRule="auto"/>
        <w:rPr>
          <w:color w:val="000000" w:themeColor="text1"/>
          <w:szCs w:val="22"/>
        </w:rPr>
      </w:pPr>
      <w:r w:rsidRPr="002A4621">
        <w:rPr>
          <w:b/>
          <w:bCs/>
          <w:color w:val="000000" w:themeColor="text1"/>
          <w:szCs w:val="22"/>
        </w:rPr>
        <w:t xml:space="preserve">The application </w:t>
      </w:r>
      <w:r w:rsidR="00381D06">
        <w:rPr>
          <w:b/>
          <w:bCs/>
          <w:color w:val="000000" w:themeColor="text1"/>
          <w:szCs w:val="22"/>
        </w:rPr>
        <w:t>deadline is</w:t>
      </w:r>
      <w:r w:rsidRPr="002A4621">
        <w:rPr>
          <w:b/>
          <w:bCs/>
          <w:color w:val="000000" w:themeColor="text1"/>
          <w:szCs w:val="22"/>
        </w:rPr>
        <w:t xml:space="preserve"> May 15,</w:t>
      </w:r>
      <w:r w:rsidRPr="002A4621">
        <w:rPr>
          <w:color w:val="000000" w:themeColor="text1"/>
          <w:szCs w:val="22"/>
        </w:rPr>
        <w:t xml:space="preserve"> 2025 by e-mail to </w:t>
      </w:r>
      <w:hyperlink r:id="rId17" w:history="1">
        <w:r w:rsidRPr="002A4621">
          <w:rPr>
            <w:rStyle w:val="Hyperlnk"/>
            <w:color w:val="000000" w:themeColor="text1"/>
            <w:szCs w:val="22"/>
          </w:rPr>
          <w:t>charlotte.skoglund@lnu.se</w:t>
        </w:r>
      </w:hyperlink>
      <w:r w:rsidRPr="002A4621">
        <w:rPr>
          <w:color w:val="000000" w:themeColor="text1"/>
          <w:szCs w:val="22"/>
        </w:rPr>
        <w:t xml:space="preserve"> The applications are processed by the Office of External Relations, prioritized by the Linnaeus University Steering Group for MIRAI and decided by the </w:t>
      </w:r>
      <w:r w:rsidR="00550A08" w:rsidRPr="00550A08">
        <w:rPr>
          <w:color w:val="000000" w:themeColor="text1"/>
          <w:szCs w:val="22"/>
        </w:rPr>
        <w:t xml:space="preserve">Vice-rector for Internationalisation </w:t>
      </w:r>
      <w:r w:rsidRPr="002A4621">
        <w:rPr>
          <w:color w:val="000000" w:themeColor="text1"/>
          <w:szCs w:val="22"/>
        </w:rPr>
        <w:t xml:space="preserve">Daniel </w:t>
      </w:r>
      <w:proofErr w:type="spellStart"/>
      <w:r w:rsidRPr="002A4621">
        <w:rPr>
          <w:color w:val="000000" w:themeColor="text1"/>
          <w:szCs w:val="22"/>
        </w:rPr>
        <w:t>Alvunger</w:t>
      </w:r>
      <w:proofErr w:type="spellEnd"/>
      <w:r w:rsidRPr="002A4621">
        <w:rPr>
          <w:color w:val="000000" w:themeColor="text1"/>
          <w:szCs w:val="22"/>
        </w:rPr>
        <w:t>.</w:t>
      </w:r>
    </w:p>
    <w:p w14:paraId="739CDBFD" w14:textId="77777777" w:rsidR="00FC6830" w:rsidRPr="002A4621" w:rsidRDefault="00FC6830" w:rsidP="008B6D4E">
      <w:pPr>
        <w:pStyle w:val="Brdtext"/>
        <w:spacing w:line="240" w:lineRule="auto"/>
        <w:rPr>
          <w:color w:val="000000" w:themeColor="text1"/>
          <w:szCs w:val="22"/>
        </w:rPr>
      </w:pPr>
    </w:p>
    <w:p w14:paraId="63B07ECE" w14:textId="77777777" w:rsidR="00FC6830" w:rsidRPr="002A4621" w:rsidRDefault="00FC6830" w:rsidP="008B6D4E">
      <w:pPr>
        <w:pStyle w:val="Rubrik4"/>
        <w:spacing w:line="240" w:lineRule="auto"/>
        <w:rPr>
          <w:rFonts w:ascii="Times New Roman" w:hAnsi="Times New Roman" w:cs="Times New Roman"/>
          <w:color w:val="000000" w:themeColor="text1"/>
          <w:sz w:val="22"/>
          <w:szCs w:val="22"/>
          <w:lang w:val="en-US"/>
        </w:rPr>
      </w:pPr>
      <w:r w:rsidRPr="002A4621">
        <w:rPr>
          <w:rFonts w:ascii="Times New Roman" w:hAnsi="Times New Roman" w:cs="Times New Roman"/>
          <w:color w:val="000000" w:themeColor="text1"/>
          <w:sz w:val="22"/>
          <w:szCs w:val="22"/>
          <w:lang w:val="en-US"/>
        </w:rPr>
        <w:t xml:space="preserve">Timeline </w:t>
      </w:r>
    </w:p>
    <w:p w14:paraId="04FD9575" w14:textId="77777777" w:rsidR="00FC6830" w:rsidRPr="002A4621" w:rsidRDefault="00FC6830" w:rsidP="008B6D4E">
      <w:pPr>
        <w:pStyle w:val="Brdtext"/>
        <w:spacing w:line="240" w:lineRule="auto"/>
        <w:rPr>
          <w:color w:val="000000" w:themeColor="text1"/>
          <w:szCs w:val="22"/>
        </w:rPr>
      </w:pPr>
      <w:r w:rsidRPr="002A4621">
        <w:rPr>
          <w:b/>
          <w:bCs/>
          <w:color w:val="000000" w:themeColor="text1"/>
          <w:szCs w:val="22"/>
        </w:rPr>
        <w:t>Call Deadline</w:t>
      </w:r>
      <w:r w:rsidRPr="002A4621">
        <w:rPr>
          <w:color w:val="000000" w:themeColor="text1"/>
          <w:szCs w:val="22"/>
        </w:rPr>
        <w:t xml:space="preserve">: May 15, 2025 </w:t>
      </w:r>
    </w:p>
    <w:p w14:paraId="0F5B5D35" w14:textId="77777777" w:rsidR="00FC6830" w:rsidRPr="002A4621" w:rsidRDefault="00FC6830" w:rsidP="008B6D4E">
      <w:pPr>
        <w:pStyle w:val="Brdtext"/>
        <w:spacing w:line="240" w:lineRule="auto"/>
        <w:rPr>
          <w:color w:val="000000" w:themeColor="text1"/>
          <w:szCs w:val="22"/>
        </w:rPr>
      </w:pPr>
      <w:r w:rsidRPr="002A4621">
        <w:rPr>
          <w:b/>
          <w:bCs/>
          <w:color w:val="000000" w:themeColor="text1"/>
          <w:szCs w:val="22"/>
        </w:rPr>
        <w:t>Assessment period</w:t>
      </w:r>
      <w:r w:rsidRPr="002A4621">
        <w:rPr>
          <w:color w:val="000000" w:themeColor="text1"/>
          <w:szCs w:val="22"/>
        </w:rPr>
        <w:t xml:space="preserve">: May 16- June 15, 2025 </w:t>
      </w:r>
    </w:p>
    <w:p w14:paraId="3F137A78" w14:textId="3AD2ECEB" w:rsidR="00FC6830" w:rsidRPr="002A4621" w:rsidRDefault="00FC6830" w:rsidP="008B6D4E">
      <w:pPr>
        <w:pStyle w:val="Brdtext"/>
        <w:spacing w:line="240" w:lineRule="auto"/>
        <w:rPr>
          <w:color w:val="000000" w:themeColor="text1"/>
          <w:szCs w:val="22"/>
        </w:rPr>
      </w:pPr>
      <w:r w:rsidRPr="002A4621">
        <w:rPr>
          <w:b/>
          <w:bCs/>
          <w:color w:val="000000" w:themeColor="text1"/>
          <w:szCs w:val="22"/>
        </w:rPr>
        <w:t>Participant Announcement</w:t>
      </w:r>
      <w:r w:rsidRPr="002A4621">
        <w:rPr>
          <w:color w:val="000000" w:themeColor="text1"/>
          <w:szCs w:val="22"/>
        </w:rPr>
        <w:t xml:space="preserve">: </w:t>
      </w:r>
      <w:r w:rsidR="00D0493F">
        <w:rPr>
          <w:color w:val="000000" w:themeColor="text1"/>
          <w:szCs w:val="22"/>
        </w:rPr>
        <w:t>June 18,</w:t>
      </w:r>
      <w:r w:rsidRPr="002A4621">
        <w:rPr>
          <w:color w:val="000000" w:themeColor="text1"/>
          <w:szCs w:val="22"/>
        </w:rPr>
        <w:t xml:space="preserve"> June 2025 </w:t>
      </w:r>
    </w:p>
    <w:p w14:paraId="694E1A9E" w14:textId="77777777" w:rsidR="00FC6830" w:rsidRPr="002A4621" w:rsidRDefault="00FC6830" w:rsidP="008B6D4E">
      <w:pPr>
        <w:pStyle w:val="Brdtext"/>
        <w:spacing w:line="240" w:lineRule="auto"/>
        <w:rPr>
          <w:color w:val="000000" w:themeColor="text1"/>
          <w:szCs w:val="22"/>
        </w:rPr>
      </w:pPr>
      <w:r w:rsidRPr="002A4621">
        <w:rPr>
          <w:b/>
          <w:bCs/>
          <w:color w:val="000000" w:themeColor="text1"/>
          <w:szCs w:val="22"/>
        </w:rPr>
        <w:t>Programme Start</w:t>
      </w:r>
      <w:r w:rsidRPr="002A4621">
        <w:rPr>
          <w:color w:val="000000" w:themeColor="text1"/>
          <w:szCs w:val="22"/>
        </w:rPr>
        <w:t xml:space="preserve">: 2025-2026 </w:t>
      </w:r>
    </w:p>
    <w:p w14:paraId="7460151C" w14:textId="77777777" w:rsidR="00FC6830" w:rsidRPr="004169E3" w:rsidRDefault="00FC6830" w:rsidP="008B6D4E">
      <w:pPr>
        <w:pStyle w:val="Brdtext"/>
        <w:spacing w:line="240" w:lineRule="auto"/>
        <w:rPr>
          <w:color w:val="000000" w:themeColor="text1"/>
          <w:szCs w:val="22"/>
          <w:lang w:val="sv-SE"/>
        </w:rPr>
      </w:pPr>
      <w:r w:rsidRPr="00B74214">
        <w:rPr>
          <w:b/>
          <w:bCs/>
          <w:color w:val="000000" w:themeColor="text1"/>
          <w:szCs w:val="22"/>
        </w:rPr>
        <w:t>Programme Conclusion</w:t>
      </w:r>
      <w:r w:rsidRPr="00B74214">
        <w:rPr>
          <w:color w:val="000000" w:themeColor="text1"/>
          <w:szCs w:val="22"/>
        </w:rPr>
        <w:t>:</w:t>
      </w:r>
      <w:r w:rsidRPr="004169E3">
        <w:rPr>
          <w:color w:val="000000" w:themeColor="text1"/>
          <w:szCs w:val="22"/>
          <w:lang w:val="sv-SE"/>
        </w:rPr>
        <w:t xml:space="preserve"> by December 31, 2026</w:t>
      </w:r>
    </w:p>
    <w:p w14:paraId="51E3604F" w14:textId="77777777" w:rsidR="00982217" w:rsidRPr="004169E3" w:rsidRDefault="00982217">
      <w:pPr>
        <w:rPr>
          <w:color w:val="000000" w:themeColor="text1"/>
          <w:sz w:val="22"/>
          <w:szCs w:val="22"/>
          <w:highlight w:val="yellow"/>
        </w:rPr>
      </w:pPr>
    </w:p>
    <w:sectPr w:rsidR="00982217" w:rsidRPr="004169E3" w:rsidSect="002A46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0EB1" w14:textId="77777777" w:rsidR="0029290E" w:rsidRDefault="0029290E" w:rsidP="00FC6830">
      <w:r>
        <w:separator/>
      </w:r>
    </w:p>
  </w:endnote>
  <w:endnote w:type="continuationSeparator" w:id="0">
    <w:p w14:paraId="042454F5" w14:textId="77777777" w:rsidR="0029290E" w:rsidRDefault="0029290E" w:rsidP="00FC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B378" w14:textId="77777777" w:rsidR="0029290E" w:rsidRDefault="0029290E" w:rsidP="00FC6830">
      <w:r>
        <w:separator/>
      </w:r>
    </w:p>
  </w:footnote>
  <w:footnote w:type="continuationSeparator" w:id="0">
    <w:p w14:paraId="71A8165E" w14:textId="77777777" w:rsidR="0029290E" w:rsidRDefault="0029290E" w:rsidP="00FC6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102"/>
    <w:multiLevelType w:val="multilevel"/>
    <w:tmpl w:val="288CD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F7DC8"/>
    <w:multiLevelType w:val="hybridMultilevel"/>
    <w:tmpl w:val="FB1890EA"/>
    <w:lvl w:ilvl="0" w:tplc="965A7AD6">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A616E7"/>
    <w:multiLevelType w:val="multilevel"/>
    <w:tmpl w:val="224E5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37587"/>
    <w:multiLevelType w:val="hybridMultilevel"/>
    <w:tmpl w:val="01544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953129"/>
    <w:multiLevelType w:val="hybridMultilevel"/>
    <w:tmpl w:val="797AC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630D3D"/>
    <w:multiLevelType w:val="multilevel"/>
    <w:tmpl w:val="29B67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C43A6"/>
    <w:multiLevelType w:val="multilevel"/>
    <w:tmpl w:val="E99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E3C09"/>
    <w:multiLevelType w:val="hybridMultilevel"/>
    <w:tmpl w:val="B2CA8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9953CD"/>
    <w:multiLevelType w:val="hybridMultilevel"/>
    <w:tmpl w:val="54907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834E66"/>
    <w:multiLevelType w:val="multilevel"/>
    <w:tmpl w:val="DE981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30756"/>
    <w:multiLevelType w:val="hybridMultilevel"/>
    <w:tmpl w:val="DC3A5BC0"/>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5A605080"/>
    <w:multiLevelType w:val="multilevel"/>
    <w:tmpl w:val="F6DAA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852311">
    <w:abstractNumId w:val="3"/>
  </w:num>
  <w:num w:numId="2" w16cid:durableId="2133860767">
    <w:abstractNumId w:val="6"/>
  </w:num>
  <w:num w:numId="3" w16cid:durableId="2050572188">
    <w:abstractNumId w:val="11"/>
  </w:num>
  <w:num w:numId="4" w16cid:durableId="620772642">
    <w:abstractNumId w:val="5"/>
  </w:num>
  <w:num w:numId="5" w16cid:durableId="120854461">
    <w:abstractNumId w:val="0"/>
  </w:num>
  <w:num w:numId="6" w16cid:durableId="451561096">
    <w:abstractNumId w:val="8"/>
  </w:num>
  <w:num w:numId="7" w16cid:durableId="1307273139">
    <w:abstractNumId w:val="2"/>
  </w:num>
  <w:num w:numId="8" w16cid:durableId="1611811800">
    <w:abstractNumId w:val="9"/>
  </w:num>
  <w:num w:numId="9" w16cid:durableId="1537738626">
    <w:abstractNumId w:val="1"/>
  </w:num>
  <w:num w:numId="10" w16cid:durableId="1345282045">
    <w:abstractNumId w:val="7"/>
  </w:num>
  <w:num w:numId="11" w16cid:durableId="1490437525">
    <w:abstractNumId w:val="4"/>
  </w:num>
  <w:num w:numId="12" w16cid:durableId="762841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30"/>
    <w:rsid w:val="00041132"/>
    <w:rsid w:val="00047212"/>
    <w:rsid w:val="00062C89"/>
    <w:rsid w:val="0008387C"/>
    <w:rsid w:val="000A029E"/>
    <w:rsid w:val="000E409A"/>
    <w:rsid w:val="000E53EB"/>
    <w:rsid w:val="00130275"/>
    <w:rsid w:val="00146643"/>
    <w:rsid w:val="00164DE7"/>
    <w:rsid w:val="00173838"/>
    <w:rsid w:val="00195E53"/>
    <w:rsid w:val="001A09F9"/>
    <w:rsid w:val="00201CFE"/>
    <w:rsid w:val="0022214B"/>
    <w:rsid w:val="0024211F"/>
    <w:rsid w:val="002549BC"/>
    <w:rsid w:val="002554D1"/>
    <w:rsid w:val="002873EC"/>
    <w:rsid w:val="002928FE"/>
    <w:rsid w:val="0029290E"/>
    <w:rsid w:val="002A4621"/>
    <w:rsid w:val="002D0579"/>
    <w:rsid w:val="00310748"/>
    <w:rsid w:val="00341B14"/>
    <w:rsid w:val="00381D06"/>
    <w:rsid w:val="003A035C"/>
    <w:rsid w:val="003C21CA"/>
    <w:rsid w:val="003C3EBA"/>
    <w:rsid w:val="003E56CE"/>
    <w:rsid w:val="0040202A"/>
    <w:rsid w:val="00415F1F"/>
    <w:rsid w:val="004169AF"/>
    <w:rsid w:val="004169E3"/>
    <w:rsid w:val="00450A36"/>
    <w:rsid w:val="00450FD1"/>
    <w:rsid w:val="00454908"/>
    <w:rsid w:val="004B466A"/>
    <w:rsid w:val="004C0658"/>
    <w:rsid w:val="00530333"/>
    <w:rsid w:val="00550A08"/>
    <w:rsid w:val="0056063E"/>
    <w:rsid w:val="005927EF"/>
    <w:rsid w:val="005B1FD6"/>
    <w:rsid w:val="005C1B0C"/>
    <w:rsid w:val="005D42B9"/>
    <w:rsid w:val="005E2C8E"/>
    <w:rsid w:val="005E55BF"/>
    <w:rsid w:val="006053CC"/>
    <w:rsid w:val="00651223"/>
    <w:rsid w:val="00680718"/>
    <w:rsid w:val="006B56BE"/>
    <w:rsid w:val="006D2B5D"/>
    <w:rsid w:val="006E0EC4"/>
    <w:rsid w:val="006E61FE"/>
    <w:rsid w:val="007020D2"/>
    <w:rsid w:val="007557F2"/>
    <w:rsid w:val="00763CFF"/>
    <w:rsid w:val="007933EC"/>
    <w:rsid w:val="007B3EC2"/>
    <w:rsid w:val="007F5141"/>
    <w:rsid w:val="008153A5"/>
    <w:rsid w:val="00817CF3"/>
    <w:rsid w:val="008224E4"/>
    <w:rsid w:val="008319A1"/>
    <w:rsid w:val="00855EDE"/>
    <w:rsid w:val="008825C7"/>
    <w:rsid w:val="00897EF0"/>
    <w:rsid w:val="008B2245"/>
    <w:rsid w:val="008B6D4E"/>
    <w:rsid w:val="008E6D92"/>
    <w:rsid w:val="008F1461"/>
    <w:rsid w:val="00900B9E"/>
    <w:rsid w:val="00911603"/>
    <w:rsid w:val="00940198"/>
    <w:rsid w:val="00943305"/>
    <w:rsid w:val="00972380"/>
    <w:rsid w:val="00982217"/>
    <w:rsid w:val="00A1100A"/>
    <w:rsid w:val="00A87DD0"/>
    <w:rsid w:val="00AF1F74"/>
    <w:rsid w:val="00B00CAE"/>
    <w:rsid w:val="00B14AC8"/>
    <w:rsid w:val="00B30053"/>
    <w:rsid w:val="00B74214"/>
    <w:rsid w:val="00BA0DDD"/>
    <w:rsid w:val="00BD0663"/>
    <w:rsid w:val="00BD1363"/>
    <w:rsid w:val="00BD73D6"/>
    <w:rsid w:val="00BE2CE2"/>
    <w:rsid w:val="00BE62F7"/>
    <w:rsid w:val="00BF013A"/>
    <w:rsid w:val="00C025C1"/>
    <w:rsid w:val="00C07D12"/>
    <w:rsid w:val="00C30AD9"/>
    <w:rsid w:val="00C36B12"/>
    <w:rsid w:val="00C40837"/>
    <w:rsid w:val="00C77F01"/>
    <w:rsid w:val="00C933F5"/>
    <w:rsid w:val="00CA3A02"/>
    <w:rsid w:val="00CA747F"/>
    <w:rsid w:val="00CD2EEB"/>
    <w:rsid w:val="00CE6424"/>
    <w:rsid w:val="00D0493F"/>
    <w:rsid w:val="00D1003F"/>
    <w:rsid w:val="00D37986"/>
    <w:rsid w:val="00D46E9B"/>
    <w:rsid w:val="00D564ED"/>
    <w:rsid w:val="00D64A95"/>
    <w:rsid w:val="00D713F0"/>
    <w:rsid w:val="00D84DD3"/>
    <w:rsid w:val="00DC5566"/>
    <w:rsid w:val="00E11083"/>
    <w:rsid w:val="00E20791"/>
    <w:rsid w:val="00E60CAC"/>
    <w:rsid w:val="00E942CD"/>
    <w:rsid w:val="00EA0869"/>
    <w:rsid w:val="00EA57FD"/>
    <w:rsid w:val="00EC4EA2"/>
    <w:rsid w:val="00EE65BF"/>
    <w:rsid w:val="00EF1B94"/>
    <w:rsid w:val="00EF61B5"/>
    <w:rsid w:val="00F02B88"/>
    <w:rsid w:val="00F162F3"/>
    <w:rsid w:val="00F969D5"/>
    <w:rsid w:val="00FA5AD2"/>
    <w:rsid w:val="00FB580E"/>
    <w:rsid w:val="00FC3356"/>
    <w:rsid w:val="00FC6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FFDC"/>
  <w15:chartTrackingRefBased/>
  <w15:docId w15:val="{2338ECE1-00D9-6C40-8CEB-F73F5433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EC"/>
    <w:pPr>
      <w:spacing w:after="0" w:line="240"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FC68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Rubrik2">
    <w:name w:val="heading 2"/>
    <w:basedOn w:val="Normal"/>
    <w:next w:val="Normal"/>
    <w:link w:val="Rubrik2Char"/>
    <w:unhideWhenUsed/>
    <w:qFormat/>
    <w:rsid w:val="00FC68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Rubrik3">
    <w:name w:val="heading 3"/>
    <w:basedOn w:val="Normal"/>
    <w:next w:val="Normal"/>
    <w:link w:val="Rubrik3Char"/>
    <w:unhideWhenUsed/>
    <w:qFormat/>
    <w:rsid w:val="00FC6830"/>
    <w:pPr>
      <w:keepNext/>
      <w:keepLines/>
      <w:spacing w:before="160" w:after="80" w:line="278" w:lineRule="auto"/>
      <w:outlineLvl w:val="2"/>
    </w:pPr>
    <w:rPr>
      <w:rFonts w:ascii="Aptos" w:eastAsiaTheme="majorEastAsia" w:hAnsi="Aptos" w:cstheme="majorBidi"/>
      <w:color w:val="0F4761" w:themeColor="accent1" w:themeShade="BF"/>
      <w:kern w:val="2"/>
      <w:sz w:val="28"/>
      <w:szCs w:val="28"/>
      <w:lang w:eastAsia="en-US"/>
    </w:rPr>
  </w:style>
  <w:style w:type="paragraph" w:styleId="Rubrik4">
    <w:name w:val="heading 4"/>
    <w:basedOn w:val="Normal"/>
    <w:next w:val="Normal"/>
    <w:link w:val="Rubrik4Char"/>
    <w:unhideWhenUsed/>
    <w:qFormat/>
    <w:rsid w:val="00FC6830"/>
    <w:pPr>
      <w:keepNext/>
      <w:keepLines/>
      <w:spacing w:before="80" w:after="40" w:line="278" w:lineRule="auto"/>
      <w:outlineLvl w:val="3"/>
    </w:pPr>
    <w:rPr>
      <w:rFonts w:ascii="Aptos" w:eastAsiaTheme="majorEastAsia" w:hAnsi="Aptos" w:cstheme="majorBidi"/>
      <w:i/>
      <w:iCs/>
      <w:color w:val="0F4761" w:themeColor="accent1" w:themeShade="BF"/>
      <w:kern w:val="2"/>
      <w:lang w:eastAsia="en-US"/>
    </w:rPr>
  </w:style>
  <w:style w:type="paragraph" w:styleId="Rubrik5">
    <w:name w:val="heading 5"/>
    <w:basedOn w:val="Normal"/>
    <w:next w:val="Normal"/>
    <w:link w:val="Rubrik5Char"/>
    <w:uiPriority w:val="9"/>
    <w:semiHidden/>
    <w:unhideWhenUsed/>
    <w:qFormat/>
    <w:rsid w:val="00FC6830"/>
    <w:pPr>
      <w:keepNext/>
      <w:keepLines/>
      <w:spacing w:before="80" w:after="40" w:line="278" w:lineRule="auto"/>
      <w:outlineLvl w:val="4"/>
    </w:pPr>
    <w:rPr>
      <w:rFonts w:ascii="Aptos" w:eastAsiaTheme="majorEastAsia" w:hAnsi="Aptos" w:cstheme="majorBidi"/>
      <w:color w:val="0F4761" w:themeColor="accent1" w:themeShade="BF"/>
      <w:kern w:val="2"/>
      <w:lang w:eastAsia="en-US"/>
    </w:rPr>
  </w:style>
  <w:style w:type="paragraph" w:styleId="Rubrik6">
    <w:name w:val="heading 6"/>
    <w:basedOn w:val="Normal"/>
    <w:next w:val="Normal"/>
    <w:link w:val="Rubrik6Char"/>
    <w:uiPriority w:val="9"/>
    <w:semiHidden/>
    <w:unhideWhenUsed/>
    <w:qFormat/>
    <w:rsid w:val="00FC683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C683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C683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C683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683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FC683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FC683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rsid w:val="00FC683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C683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C68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C68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C68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C6830"/>
    <w:rPr>
      <w:rFonts w:eastAsiaTheme="majorEastAsia" w:cstheme="majorBidi"/>
      <w:color w:val="272727" w:themeColor="text1" w:themeTint="D8"/>
    </w:rPr>
  </w:style>
  <w:style w:type="paragraph" w:styleId="Rubrik">
    <w:name w:val="Title"/>
    <w:basedOn w:val="Normal"/>
    <w:next w:val="Normal"/>
    <w:link w:val="RubrikChar"/>
    <w:uiPriority w:val="10"/>
    <w:qFormat/>
    <w:rsid w:val="00FC6830"/>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FC68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C6830"/>
    <w:pPr>
      <w:numPr>
        <w:ilvl w:val="1"/>
      </w:numPr>
      <w:spacing w:after="160" w:line="278" w:lineRule="auto"/>
    </w:pPr>
    <w:rPr>
      <w:rFonts w:ascii="Aptos" w:eastAsiaTheme="majorEastAsia" w:hAnsi="Aptos" w:cstheme="majorBidi"/>
      <w:color w:val="595959" w:themeColor="text1" w:themeTint="A6"/>
      <w:spacing w:val="15"/>
      <w:kern w:val="2"/>
      <w:sz w:val="28"/>
      <w:szCs w:val="28"/>
      <w:lang w:eastAsia="en-US"/>
    </w:rPr>
  </w:style>
  <w:style w:type="character" w:customStyle="1" w:styleId="UnderrubrikChar">
    <w:name w:val="Underrubrik Char"/>
    <w:basedOn w:val="Standardstycketeckensnitt"/>
    <w:link w:val="Underrubrik"/>
    <w:uiPriority w:val="11"/>
    <w:rsid w:val="00FC68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6830"/>
    <w:pPr>
      <w:spacing w:before="160" w:after="160" w:line="278" w:lineRule="auto"/>
      <w:jc w:val="center"/>
    </w:pPr>
    <w:rPr>
      <w:rFonts w:ascii="Aptos" w:eastAsia="Aptos" w:hAnsi="Aptos"/>
      <w:i/>
      <w:iCs/>
      <w:color w:val="404040" w:themeColor="text1" w:themeTint="BF"/>
      <w:kern w:val="2"/>
      <w:lang w:eastAsia="en-US"/>
    </w:rPr>
  </w:style>
  <w:style w:type="character" w:customStyle="1" w:styleId="CitatChar">
    <w:name w:val="Citat Char"/>
    <w:basedOn w:val="Standardstycketeckensnitt"/>
    <w:link w:val="Citat"/>
    <w:uiPriority w:val="29"/>
    <w:rsid w:val="00FC6830"/>
    <w:rPr>
      <w:i/>
      <w:iCs/>
      <w:color w:val="404040" w:themeColor="text1" w:themeTint="BF"/>
    </w:rPr>
  </w:style>
  <w:style w:type="paragraph" w:styleId="Liststycke">
    <w:name w:val="List Paragraph"/>
    <w:basedOn w:val="Normal"/>
    <w:uiPriority w:val="34"/>
    <w:qFormat/>
    <w:rsid w:val="00FC6830"/>
    <w:pPr>
      <w:spacing w:after="160" w:line="278" w:lineRule="auto"/>
      <w:ind w:left="720"/>
      <w:contextualSpacing/>
    </w:pPr>
    <w:rPr>
      <w:rFonts w:ascii="Aptos" w:eastAsia="Aptos" w:hAnsi="Aptos"/>
      <w:kern w:val="2"/>
      <w:lang w:eastAsia="en-US"/>
    </w:rPr>
  </w:style>
  <w:style w:type="character" w:styleId="Starkbetoning">
    <w:name w:val="Intense Emphasis"/>
    <w:basedOn w:val="Standardstycketeckensnitt"/>
    <w:uiPriority w:val="21"/>
    <w:qFormat/>
    <w:rsid w:val="00FC6830"/>
    <w:rPr>
      <w:i/>
      <w:iCs/>
      <w:color w:val="0F4761" w:themeColor="accent1" w:themeShade="BF"/>
    </w:rPr>
  </w:style>
  <w:style w:type="paragraph" w:styleId="Starktcitat">
    <w:name w:val="Intense Quote"/>
    <w:basedOn w:val="Normal"/>
    <w:next w:val="Normal"/>
    <w:link w:val="StarktcitatChar"/>
    <w:uiPriority w:val="30"/>
    <w:qFormat/>
    <w:rsid w:val="00FC68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ptos" w:eastAsia="Aptos" w:hAnsi="Aptos"/>
      <w:i/>
      <w:iCs/>
      <w:color w:val="0F4761" w:themeColor="accent1" w:themeShade="BF"/>
      <w:kern w:val="2"/>
      <w:lang w:eastAsia="en-US"/>
    </w:rPr>
  </w:style>
  <w:style w:type="character" w:customStyle="1" w:styleId="StarktcitatChar">
    <w:name w:val="Starkt citat Char"/>
    <w:basedOn w:val="Standardstycketeckensnitt"/>
    <w:link w:val="Starktcitat"/>
    <w:uiPriority w:val="30"/>
    <w:rsid w:val="00FC6830"/>
    <w:rPr>
      <w:i/>
      <w:iCs/>
      <w:color w:val="0F4761" w:themeColor="accent1" w:themeShade="BF"/>
    </w:rPr>
  </w:style>
  <w:style w:type="character" w:styleId="Starkreferens">
    <w:name w:val="Intense Reference"/>
    <w:basedOn w:val="Standardstycketeckensnitt"/>
    <w:uiPriority w:val="32"/>
    <w:qFormat/>
    <w:rsid w:val="00FC6830"/>
    <w:rPr>
      <w:b/>
      <w:bCs/>
      <w:smallCaps/>
      <w:color w:val="0F4761" w:themeColor="accent1" w:themeShade="BF"/>
      <w:spacing w:val="5"/>
    </w:rPr>
  </w:style>
  <w:style w:type="paragraph" w:styleId="Sidhuvud">
    <w:name w:val="header"/>
    <w:basedOn w:val="Normal"/>
    <w:link w:val="SidhuvudChar"/>
    <w:uiPriority w:val="99"/>
    <w:unhideWhenUsed/>
    <w:rsid w:val="00FC6830"/>
    <w:pPr>
      <w:tabs>
        <w:tab w:val="center" w:pos="4536"/>
        <w:tab w:val="right" w:pos="9072"/>
      </w:tabs>
    </w:pPr>
    <w:rPr>
      <w:rFonts w:ascii="Aptos" w:eastAsia="Aptos" w:hAnsi="Aptos"/>
      <w:kern w:val="2"/>
      <w:lang w:eastAsia="en-US"/>
    </w:rPr>
  </w:style>
  <w:style w:type="character" w:customStyle="1" w:styleId="SidhuvudChar">
    <w:name w:val="Sidhuvud Char"/>
    <w:basedOn w:val="Standardstycketeckensnitt"/>
    <w:link w:val="Sidhuvud"/>
    <w:uiPriority w:val="99"/>
    <w:rsid w:val="00FC6830"/>
  </w:style>
  <w:style w:type="paragraph" w:styleId="Sidfot">
    <w:name w:val="footer"/>
    <w:basedOn w:val="Normal"/>
    <w:link w:val="SidfotChar"/>
    <w:uiPriority w:val="99"/>
    <w:unhideWhenUsed/>
    <w:rsid w:val="00FC6830"/>
    <w:pPr>
      <w:tabs>
        <w:tab w:val="center" w:pos="4536"/>
        <w:tab w:val="right" w:pos="9072"/>
      </w:tabs>
    </w:pPr>
    <w:rPr>
      <w:rFonts w:ascii="Aptos" w:eastAsia="Aptos" w:hAnsi="Aptos"/>
      <w:kern w:val="2"/>
      <w:lang w:eastAsia="en-US"/>
    </w:rPr>
  </w:style>
  <w:style w:type="character" w:customStyle="1" w:styleId="SidfotChar">
    <w:name w:val="Sidfot Char"/>
    <w:basedOn w:val="Standardstycketeckensnitt"/>
    <w:link w:val="Sidfot"/>
    <w:uiPriority w:val="99"/>
    <w:rsid w:val="00FC6830"/>
  </w:style>
  <w:style w:type="paragraph" w:styleId="Brdtext">
    <w:name w:val="Body Text"/>
    <w:link w:val="BrdtextChar"/>
    <w:rsid w:val="00FC6830"/>
    <w:pPr>
      <w:spacing w:after="0" w:line="260" w:lineRule="atLeast"/>
    </w:pPr>
    <w:rPr>
      <w:rFonts w:ascii="Times New Roman" w:eastAsia="Times New Roman" w:hAnsi="Times New Roman" w:cs="Times New Roman"/>
      <w:kern w:val="0"/>
      <w:sz w:val="22"/>
      <w:lang w:val="en-GB" w:eastAsia="sv-SE"/>
      <w14:ligatures w14:val="none"/>
    </w:rPr>
  </w:style>
  <w:style w:type="character" w:customStyle="1" w:styleId="BrdtextChar">
    <w:name w:val="Brödtext Char"/>
    <w:basedOn w:val="Standardstycketeckensnitt"/>
    <w:link w:val="Brdtext"/>
    <w:rsid w:val="00FC6830"/>
    <w:rPr>
      <w:rFonts w:ascii="Times New Roman" w:eastAsia="Times New Roman" w:hAnsi="Times New Roman" w:cs="Times New Roman"/>
      <w:kern w:val="0"/>
      <w:sz w:val="22"/>
      <w:lang w:val="en-GB" w:eastAsia="sv-SE"/>
      <w14:ligatures w14:val="none"/>
    </w:rPr>
  </w:style>
  <w:style w:type="character" w:styleId="Hyperlnk">
    <w:name w:val="Hyperlink"/>
    <w:rsid w:val="00FC6830"/>
    <w:rPr>
      <w:color w:val="467886"/>
      <w:u w:val="single"/>
    </w:rPr>
  </w:style>
  <w:style w:type="paragraph" w:customStyle="1" w:styleId="Default">
    <w:name w:val="Default"/>
    <w:rsid w:val="00FC6830"/>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Kommentarsreferens">
    <w:name w:val="annotation reference"/>
    <w:uiPriority w:val="99"/>
    <w:rsid w:val="00FC6830"/>
    <w:rPr>
      <w:sz w:val="16"/>
      <w:szCs w:val="16"/>
    </w:rPr>
  </w:style>
  <w:style w:type="table" w:styleId="Tabellrutnt">
    <w:name w:val="Table Grid"/>
    <w:basedOn w:val="Normaltabell"/>
    <w:uiPriority w:val="39"/>
    <w:rsid w:val="00FB5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047212"/>
    <w:rPr>
      <w:color w:val="96607D" w:themeColor="followedHyperlink"/>
      <w:u w:val="single"/>
    </w:rPr>
  </w:style>
  <w:style w:type="character" w:styleId="Olstomnmnande">
    <w:name w:val="Unresolved Mention"/>
    <w:basedOn w:val="Standardstycketeckensnitt"/>
    <w:uiPriority w:val="99"/>
    <w:semiHidden/>
    <w:unhideWhenUsed/>
    <w:rsid w:val="00047212"/>
    <w:rPr>
      <w:color w:val="605E5C"/>
      <w:shd w:val="clear" w:color="auto" w:fill="E1DFDD"/>
    </w:rPr>
  </w:style>
  <w:style w:type="paragraph" w:styleId="Kommentarer">
    <w:name w:val="annotation text"/>
    <w:basedOn w:val="Normal"/>
    <w:link w:val="KommentarerChar"/>
    <w:uiPriority w:val="99"/>
    <w:unhideWhenUsed/>
    <w:rsid w:val="00047212"/>
    <w:pPr>
      <w:spacing w:after="160"/>
    </w:pPr>
    <w:rPr>
      <w:rFonts w:ascii="Aptos" w:eastAsia="Aptos" w:hAnsi="Aptos"/>
      <w:kern w:val="2"/>
      <w:sz w:val="20"/>
      <w:szCs w:val="20"/>
      <w:lang w:eastAsia="en-US"/>
    </w:rPr>
  </w:style>
  <w:style w:type="character" w:customStyle="1" w:styleId="KommentarerChar">
    <w:name w:val="Kommentarer Char"/>
    <w:basedOn w:val="Standardstycketeckensnitt"/>
    <w:link w:val="Kommentarer"/>
    <w:uiPriority w:val="99"/>
    <w:rsid w:val="00047212"/>
    <w:rPr>
      <w:rFonts w:ascii="Aptos" w:eastAsia="Aptos" w:hAnsi="Aptos" w:cs="Times New Roman"/>
      <w:sz w:val="20"/>
      <w:szCs w:val="20"/>
      <w14:ligatures w14:val="none"/>
    </w:rPr>
  </w:style>
  <w:style w:type="paragraph" w:styleId="Kommentarsmne">
    <w:name w:val="annotation subject"/>
    <w:basedOn w:val="Kommentarer"/>
    <w:next w:val="Kommentarer"/>
    <w:link w:val="KommentarsmneChar"/>
    <w:uiPriority w:val="99"/>
    <w:semiHidden/>
    <w:unhideWhenUsed/>
    <w:rsid w:val="00047212"/>
    <w:rPr>
      <w:b/>
      <w:bCs/>
    </w:rPr>
  </w:style>
  <w:style w:type="character" w:customStyle="1" w:styleId="KommentarsmneChar">
    <w:name w:val="Kommentarsämne Char"/>
    <w:basedOn w:val="KommentarerChar"/>
    <w:link w:val="Kommentarsmne"/>
    <w:uiPriority w:val="99"/>
    <w:semiHidden/>
    <w:rsid w:val="00047212"/>
    <w:rPr>
      <w:rFonts w:ascii="Aptos" w:eastAsia="Aptos" w:hAnsi="Aptos" w:cs="Times New Roman"/>
      <w:b/>
      <w:bCs/>
      <w:sz w:val="20"/>
      <w:szCs w:val="20"/>
      <w14:ligatures w14:val="none"/>
    </w:rPr>
  </w:style>
  <w:style w:type="character" w:customStyle="1" w:styleId="apple-converted-space">
    <w:name w:val="apple-converted-space"/>
    <w:basedOn w:val="Standardstycketeckensnitt"/>
    <w:rsid w:val="0028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nu.se/en/medarbetare/employed-at-lnu/miscellaneous/Forsa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nu.se/en/medarbetare/employed-at-lnu/miscellaneous/Ura/" TargetMode="External"/><Relationship Id="rId17" Type="http://schemas.openxmlformats.org/officeDocument/2006/relationships/hyperlink" Target="mailto:charlotte.skoglund@lnu.se" TargetMode="External"/><Relationship Id="rId2" Type="http://schemas.openxmlformats.org/officeDocument/2006/relationships/styles" Target="styles.xml"/><Relationship Id="rId16" Type="http://schemas.openxmlformats.org/officeDocument/2006/relationships/hyperlink" Target="https://www.mirai.n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rai.nu/global-challenges-teams/" TargetMode="External"/><Relationship Id="rId5" Type="http://schemas.openxmlformats.org/officeDocument/2006/relationships/footnotes" Target="footnotes.xml"/><Relationship Id="rId15" Type="http://schemas.openxmlformats.org/officeDocument/2006/relationships/hyperlink" Target="https://www.mirai.nu/global-challenges-teams/" TargetMode="External"/><Relationship Id="rId10" Type="http://schemas.openxmlformats.org/officeDocument/2006/relationships/hyperlink" Target="https://www.mirai.n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rai.nu/" TargetMode="External"/><Relationship Id="rId14" Type="http://schemas.openxmlformats.org/officeDocument/2006/relationships/hyperlink" Target="https://www.kammarkollegiet.se/engelska/start/all-services/insurance/insurance-for-students-and-foreign-visitors/insurance-for-foreign-visitor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1609</Words>
  <Characters>8529</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Skoglund</dc:creator>
  <cp:keywords/>
  <dc:description/>
  <cp:lastModifiedBy>Charlotte Skoglund</cp:lastModifiedBy>
  <cp:revision>7</cp:revision>
  <cp:lastPrinted>2025-04-03T09:20:00Z</cp:lastPrinted>
  <dcterms:created xsi:type="dcterms:W3CDTF">2025-04-08T08:52:00Z</dcterms:created>
  <dcterms:modified xsi:type="dcterms:W3CDTF">2025-04-08T12:02:00Z</dcterms:modified>
</cp:coreProperties>
</file>